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Cambria" w:eastAsia="仿宋_GB2312" w:cs="Times New Roman"/>
          <w:b/>
          <w:bCs/>
        </w:rPr>
      </w:pPr>
      <w:r>
        <w:rPr>
          <w:rFonts w:hint="eastAsia" w:ascii="仿宋_GB2312" w:eastAsia="仿宋_GB2312" w:cs="仿宋_GB2312"/>
        </w:rPr>
        <w:t>政务网</w:t>
      </w:r>
      <w:r>
        <w:rPr>
          <w:rFonts w:hint="eastAsia" w:ascii="仿宋_GB2312" w:hAnsi="Wingdings 2" w:eastAsia="仿宋_GB2312" w:cs="Times New Roman"/>
          <w:szCs w:val="20"/>
        </w:rPr>
        <w:sym w:font="Wingdings 2" w:char="F052"/>
      </w:r>
      <w:r>
        <w:rPr>
          <w:rFonts w:ascii="仿宋_GB2312" w:eastAsia="仿宋_GB2312" w:cs="仿宋_GB2312"/>
        </w:rPr>
        <w:t xml:space="preserve"> </w:t>
      </w:r>
      <w:r>
        <w:rPr>
          <w:rFonts w:hint="eastAsia" w:ascii="仿宋_GB2312" w:eastAsia="仿宋_GB2312" w:cs="仿宋_GB2312"/>
        </w:rPr>
        <w:t>微信公众号</w:t>
      </w:r>
      <w:r>
        <w:rPr>
          <w:rFonts w:ascii="仿宋_GB2312" w:eastAsia="仿宋_GB2312" w:cs="仿宋_GB2312"/>
        </w:rPr>
        <w:t xml:space="preserve"> </w:t>
      </w:r>
      <w:r>
        <w:rPr>
          <w:rFonts w:hint="eastAsia" w:ascii="仿宋_GB2312" w:eastAsia="仿宋_GB2312" w:cs="仿宋_GB2312"/>
        </w:rPr>
        <w:t>上网内容备案单</w:t>
      </w:r>
    </w:p>
    <w:p>
      <w:pPr>
        <w:rPr>
          <w:rFonts w:cs="Times New Roman"/>
          <w:b/>
          <w:bCs/>
        </w:rPr>
      </w:pPr>
      <w:r>
        <mc:AlternateContent>
          <mc:Choice Requires="wps">
            <w:drawing>
              <wp:anchor distT="0" distB="0" distL="114300" distR="114300" simplePos="0" relativeHeight="251658240" behindDoc="0" locked="0" layoutInCell="1" allowOverlap="1">
                <wp:simplePos x="0" y="0"/>
                <wp:positionH relativeFrom="column">
                  <wp:posOffset>-34290</wp:posOffset>
                </wp:positionH>
                <wp:positionV relativeFrom="paragraph">
                  <wp:posOffset>378460</wp:posOffset>
                </wp:positionV>
                <wp:extent cx="5665470" cy="15875"/>
                <wp:effectExtent l="0" t="28575" r="11430" b="31750"/>
                <wp:wrapNone/>
                <wp:docPr id="1" name="直线 4"/>
                <wp:cNvGraphicFramePr/>
                <a:graphic xmlns:a="http://schemas.openxmlformats.org/drawingml/2006/main">
                  <a:graphicData uri="http://schemas.microsoft.com/office/word/2010/wordprocessingShape">
                    <wps:wsp>
                      <wps:cNvSpPr/>
                      <wps:spPr>
                        <a:xfrm>
                          <a:off x="0" y="0"/>
                          <a:ext cx="5665470" cy="15875"/>
                        </a:xfrm>
                        <a:prstGeom prst="line">
                          <a:avLst/>
                        </a:prstGeom>
                        <a:ln w="57150" cap="flat" cmpd="thickThin">
                          <a:solidFill>
                            <a:srgbClr val="000000"/>
                          </a:solidFill>
                          <a:prstDash val="solid"/>
                          <a:headEnd type="none" w="med" len="med"/>
                          <a:tailEnd type="none" w="med" len="med"/>
                        </a:ln>
                      </wps:spPr>
                      <wps:bodyPr upright="true"/>
                    </wps:wsp>
                  </a:graphicData>
                </a:graphic>
              </wp:anchor>
            </w:drawing>
          </mc:Choice>
          <mc:Fallback>
            <w:pict>
              <v:line id="直线 4" o:spid="_x0000_s1026" o:spt="20" style="position:absolute;left:0pt;margin-left:-2.7pt;margin-top:29.8pt;height:1.25pt;width:446.1pt;z-index:251658240;mso-width-relative:page;mso-height-relative:page;" filled="f" stroked="t" coordsize="21600,21600" o:gfxdata="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cC/Hs&#10;1QAAAAgBAAAPAAAAAAAAAAEAIAAAADgAAABkcnMvZG93bnJldi54bWxQSwECFAAUAAAACACHTuJA&#10;BNh/vtUBAACbAwAADgAAAAAAAAABACAAAAA6AQAAZHJzL2Uyb0RvYy54bWxQSwUGAAAAAAYABgBZ&#10;AQAAgQUAAAAA&#10;">
                <v:fill on="f" focussize="0,0"/>
                <v:stroke weight="4.5pt" color="#000000" linestyle="thickThin" joinstyle="round"/>
                <v:imagedata o:title=""/>
                <o:lock v:ext="edit" aspectratio="f"/>
              </v:line>
            </w:pict>
          </mc:Fallback>
        </mc:AlternateContent>
      </w:r>
      <w:r>
        <w:rPr>
          <w:rFonts w:hint="eastAsia" w:ascii="黑体" w:eastAsia="黑体" w:cs="黑体"/>
          <w:b/>
          <w:bCs/>
        </w:rPr>
        <w:t>处室：</w:t>
      </w:r>
      <w:r>
        <w:rPr>
          <w:rFonts w:hint="eastAsia" w:eastAsia="黑体" w:cs="黑体"/>
          <w:b/>
          <w:bCs/>
          <w:lang w:eastAsia="zh-CN"/>
        </w:rPr>
        <w:t>党建工作室</w:t>
      </w:r>
      <w:r>
        <w:rPr>
          <w:rFonts w:hint="eastAsia" w:eastAsia="黑体" w:cs="黑体"/>
          <w:b/>
          <w:bCs/>
          <w:lang w:val="en-US" w:eastAsia="zh-CN"/>
        </w:rPr>
        <w:t xml:space="preserve"> </w:t>
      </w:r>
      <w:r>
        <w:rPr>
          <w:rFonts w:hint="eastAsia" w:ascii="黑体" w:eastAsia="黑体" w:cs="黑体"/>
          <w:b/>
          <w:bCs/>
        </w:rPr>
        <w:t>承办人：</w:t>
      </w:r>
      <w:r>
        <w:rPr>
          <w:rFonts w:hint="eastAsia" w:eastAsia="黑体" w:cs="黑体"/>
          <w:b/>
          <w:bCs/>
          <w:lang w:eastAsia="zh-CN"/>
        </w:rPr>
        <w:t>闫永和</w:t>
      </w:r>
      <w:r>
        <w:rPr>
          <w:rFonts w:eastAsia="黑体"/>
          <w:b/>
          <w:bCs/>
        </w:rPr>
        <w:t xml:space="preserve">  </w:t>
      </w:r>
      <w:r>
        <w:rPr>
          <w:rFonts w:hint="eastAsia" w:ascii="黑体" w:eastAsia="黑体" w:cs="黑体"/>
          <w:b/>
          <w:bCs/>
        </w:rPr>
        <w:t>日期：</w:t>
      </w:r>
      <w:r>
        <w:rPr>
          <w:rFonts w:eastAsia="黑体"/>
          <w:b/>
          <w:bCs/>
        </w:rPr>
        <w:t>2024</w:t>
      </w:r>
      <w:r>
        <w:rPr>
          <w:rFonts w:hint="eastAsia" w:ascii="黑体" w:eastAsia="黑体" w:cs="黑体"/>
          <w:b/>
          <w:bCs/>
        </w:rPr>
        <w:t>年</w:t>
      </w:r>
      <w:r>
        <w:rPr>
          <w:rFonts w:ascii="黑体" w:eastAsia="黑体" w:cs="黑体"/>
          <w:b/>
          <w:bCs/>
        </w:rPr>
        <w:t>7</w:t>
      </w:r>
      <w:r>
        <w:rPr>
          <w:rFonts w:hint="eastAsia" w:ascii="黑体" w:eastAsia="黑体" w:cs="黑体"/>
          <w:b/>
          <w:bCs/>
        </w:rPr>
        <w:t>月</w:t>
      </w:r>
      <w:r>
        <w:rPr>
          <w:rFonts w:hint="eastAsia" w:ascii="黑体" w:eastAsia="黑体" w:cs="黑体"/>
          <w:b/>
          <w:bCs/>
          <w:lang w:val="en-US" w:eastAsia="zh-CN"/>
        </w:rPr>
        <w:t>18</w:t>
      </w:r>
      <w:r>
        <w:rPr>
          <w:rFonts w:hint="eastAsia" w:ascii="黑体" w:eastAsia="黑体" w:cs="黑体"/>
          <w:b/>
          <w:bCs/>
        </w:rPr>
        <w:t>日</w:t>
      </w:r>
      <w:r>
        <w:rPr>
          <w:rFonts w:ascii="黑体" w:eastAsia="黑体" w:cs="黑体"/>
          <w:b/>
          <w:bCs/>
        </w:rPr>
        <w:t xml:space="preserve">   </w:t>
      </w:r>
      <w:r>
        <w:rPr>
          <w:rFonts w:hint="eastAsia" w:ascii="黑体" w:eastAsia="黑体" w:cs="黑体"/>
          <w:b/>
          <w:bCs/>
        </w:rPr>
        <w:t>处室负责人签字：</w:t>
      </w:r>
    </w:p>
    <w:p>
      <w:pPr>
        <w:jc w:val="center"/>
        <w:rPr>
          <w:rFonts w:ascii="微软简标宋" w:eastAsia="微软简标宋" w:cs="Times New Roman"/>
          <w:b/>
          <w:bCs/>
          <w:sz w:val="44"/>
          <w:szCs w:val="44"/>
        </w:rPr>
      </w:pPr>
    </w:p>
    <w:p>
      <w:pPr>
        <w:jc w:val="center"/>
        <w:rPr>
          <w:rFonts w:hint="eastAsia" w:ascii="微软简标宋" w:eastAsia="微软简标宋" w:cs="微软简标宋"/>
          <w:sz w:val="36"/>
          <w:szCs w:val="36"/>
          <w:lang w:val="en" w:eastAsia="zh-CN"/>
        </w:rPr>
      </w:pPr>
      <w:r>
        <w:rPr>
          <w:rFonts w:hint="eastAsia" w:ascii="微软简标宋" w:eastAsia="微软简标宋" w:cs="微软简标宋"/>
          <w:sz w:val="36"/>
          <w:szCs w:val="36"/>
          <w:lang w:val="en" w:eastAsia="zh-CN"/>
        </w:rPr>
        <w:t>关于开展四届区委第七轮巡察整改</w:t>
      </w:r>
    </w:p>
    <w:p>
      <w:pPr>
        <w:jc w:val="center"/>
        <w:rPr>
          <w:rFonts w:hint="eastAsia" w:ascii="微软简标宋" w:eastAsia="微软简标宋" w:cs="微软简标宋"/>
          <w:sz w:val="36"/>
          <w:szCs w:val="36"/>
          <w:lang w:val="en" w:eastAsia="zh-CN"/>
        </w:rPr>
      </w:pPr>
      <w:r>
        <w:rPr>
          <w:rFonts w:hint="eastAsia" w:ascii="微软简标宋" w:eastAsia="微软简标宋" w:cs="微软简标宋"/>
          <w:sz w:val="36"/>
          <w:szCs w:val="36"/>
          <w:lang w:val="en" w:eastAsia="zh-CN"/>
        </w:rPr>
        <w:t>“向群众汇报”工作的公示</w:t>
      </w:r>
    </w:p>
    <w:p>
      <w:pPr>
        <w:jc w:val="center"/>
        <w:rPr>
          <w:rFonts w:ascii="宋体" w:cs="Times New Roman"/>
          <w:kern w:val="0"/>
          <w:sz w:val="36"/>
          <w:szCs w:val="36"/>
        </w:rPr>
      </w:pPr>
    </w:p>
    <w:p>
      <w:pPr>
        <w:widowControl/>
        <w:spacing w:line="600" w:lineRule="exact"/>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lang w:val="en-US" w:eastAsia="zh-CN"/>
        </w:rPr>
        <w:t>按照区委巡察办关于“向群众汇报”工作要求，现将区人社局党组落实区委巡察整改中3个事关群众关心关注的问题整改情况向滨海新区广大市民公示，接受社会监督。</w:t>
      </w:r>
    </w:p>
    <w:p>
      <w:pPr>
        <w:widowControl/>
        <w:spacing w:line="600" w:lineRule="exact"/>
        <w:ind w:firstLine="640" w:firstLineChars="200"/>
        <w:jc w:val="left"/>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rPr>
        <w:t>公示时间：</w:t>
      </w:r>
      <w:r>
        <w:rPr>
          <w:rFonts w:ascii="仿宋_GB2312" w:hAnsi="宋体" w:eastAsia="仿宋_GB2312" w:cs="仿宋_GB2312"/>
          <w:color w:val="000000"/>
          <w:kern w:val="0"/>
          <w:sz w:val="32"/>
          <w:szCs w:val="32"/>
        </w:rPr>
        <w:t>2024.7.1</w:t>
      </w:r>
      <w:r>
        <w:rPr>
          <w:rFonts w:hint="eastAsia" w:ascii="仿宋_GB2312" w:hAnsi="宋体" w:eastAsia="仿宋_GB2312" w:cs="仿宋_GB2312"/>
          <w:color w:val="000000"/>
          <w:kern w:val="0"/>
          <w:sz w:val="32"/>
          <w:szCs w:val="32"/>
          <w:lang w:val="en-US" w:eastAsia="zh-CN"/>
        </w:rPr>
        <w:t>8</w:t>
      </w:r>
      <w:r>
        <w:rPr>
          <w:rFonts w:ascii="仿宋_GB2312" w:hAnsi="宋体" w:eastAsia="仿宋_GB2312" w:cs="仿宋_GB2312"/>
          <w:color w:val="000000"/>
          <w:kern w:val="0"/>
          <w:sz w:val="32"/>
          <w:szCs w:val="32"/>
        </w:rPr>
        <w:t>-2024.7.2</w:t>
      </w:r>
      <w:r>
        <w:rPr>
          <w:rFonts w:hint="eastAsia" w:ascii="仿宋_GB2312" w:hAnsi="宋体" w:eastAsia="仿宋_GB2312" w:cs="仿宋_GB2312"/>
          <w:color w:val="000000"/>
          <w:kern w:val="0"/>
          <w:sz w:val="32"/>
          <w:szCs w:val="32"/>
          <w:lang w:val="en-US" w:eastAsia="zh-CN"/>
        </w:rPr>
        <w:t>3</w:t>
      </w:r>
    </w:p>
    <w:p>
      <w:pPr>
        <w:widowControl/>
        <w:spacing w:line="60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受理部门</w:t>
      </w:r>
      <w:r>
        <w:rPr>
          <w:rFonts w:ascii="仿宋_GB2312" w:hAnsi="宋体" w:eastAsia="仿宋_GB2312" w:cs="仿宋_GB2312"/>
          <w:color w:val="000000"/>
          <w:kern w:val="0"/>
          <w:sz w:val="32"/>
          <w:szCs w:val="32"/>
        </w:rPr>
        <w:t xml:space="preserve">: </w:t>
      </w:r>
      <w:r>
        <w:rPr>
          <w:rFonts w:hint="eastAsia" w:ascii="仿宋_GB2312" w:hAnsi="宋体" w:eastAsia="仿宋_GB2312" w:cs="仿宋_GB2312"/>
          <w:color w:val="000000"/>
          <w:kern w:val="0"/>
          <w:sz w:val="32"/>
          <w:szCs w:val="32"/>
        </w:rPr>
        <w:t>滨海新区人社局</w:t>
      </w:r>
      <w:r>
        <w:rPr>
          <w:rFonts w:hint="eastAsia" w:ascii="仿宋_GB2312" w:hAnsi="宋体" w:eastAsia="仿宋_GB2312" w:cs="仿宋_GB2312"/>
          <w:color w:val="000000"/>
          <w:kern w:val="0"/>
          <w:sz w:val="32"/>
          <w:szCs w:val="32"/>
          <w:lang w:eastAsia="zh-CN"/>
        </w:rPr>
        <w:t>党建工作</w:t>
      </w:r>
      <w:r>
        <w:rPr>
          <w:rFonts w:hint="eastAsia" w:ascii="仿宋_GB2312" w:hAnsi="宋体" w:eastAsia="仿宋_GB2312" w:cs="仿宋_GB2312"/>
          <w:color w:val="000000"/>
          <w:kern w:val="0"/>
          <w:sz w:val="32"/>
          <w:szCs w:val="32"/>
        </w:rPr>
        <w:t>室</w:t>
      </w:r>
      <w:r>
        <w:rPr>
          <w:rFonts w:ascii="仿宋_GB2312" w:hAnsi="宋体" w:eastAsia="仿宋_GB2312" w:cs="仿宋_GB2312"/>
          <w:color w:val="000000"/>
          <w:kern w:val="0"/>
          <w:sz w:val="32"/>
          <w:szCs w:val="32"/>
        </w:rPr>
        <w:t xml:space="preserve">   </w:t>
      </w:r>
    </w:p>
    <w:p>
      <w:pPr>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联系电话：</w:t>
      </w:r>
      <w:r>
        <w:rPr>
          <w:rFonts w:ascii="仿宋_GB2312" w:hAnsi="宋体" w:eastAsia="仿宋_GB2312" w:cs="仿宋_GB2312"/>
          <w:color w:val="000000"/>
          <w:kern w:val="0"/>
          <w:sz w:val="32"/>
          <w:szCs w:val="32"/>
        </w:rPr>
        <w:t>022-653066</w:t>
      </w:r>
      <w:r>
        <w:rPr>
          <w:rFonts w:hint="eastAsia" w:ascii="仿宋_GB2312" w:hAnsi="宋体" w:eastAsia="仿宋_GB2312" w:cs="仿宋_GB2312"/>
          <w:color w:val="000000"/>
          <w:kern w:val="0"/>
          <w:sz w:val="32"/>
          <w:szCs w:val="32"/>
          <w:lang w:val="en-US" w:eastAsia="zh-CN"/>
        </w:rPr>
        <w:t>8</w:t>
      </w:r>
      <w:r>
        <w:rPr>
          <w:rFonts w:ascii="仿宋_GB2312" w:hAnsi="宋体" w:eastAsia="仿宋_GB2312" w:cs="仿宋_GB2312"/>
          <w:color w:val="000000"/>
          <w:kern w:val="0"/>
          <w:sz w:val="32"/>
          <w:szCs w:val="32"/>
        </w:rPr>
        <w:t>4</w:t>
      </w:r>
    </w:p>
    <w:p>
      <w:pPr>
        <w:ind w:firstLine="640" w:firstLineChars="200"/>
        <w:rPr>
          <w:rFonts w:ascii="仿宋_GB2312" w:hAnsi="宋体" w:eastAsia="仿宋_GB2312" w:cs="仿宋_GB2312"/>
          <w:color w:val="000000"/>
          <w:kern w:val="0"/>
          <w:sz w:val="32"/>
          <w:szCs w:val="32"/>
        </w:rPr>
      </w:pP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附件</w:t>
      </w:r>
      <w:r>
        <w:rPr>
          <w:rFonts w:ascii="仿宋_GB2312" w:hAnsi="宋体" w:eastAsia="仿宋_GB2312" w:cs="仿宋_GB2312"/>
          <w:color w:val="000000"/>
          <w:kern w:val="0"/>
          <w:sz w:val="32"/>
          <w:szCs w:val="32"/>
        </w:rPr>
        <w:t xml:space="preserve">: </w:t>
      </w:r>
      <w:r>
        <w:rPr>
          <w:rFonts w:hint="eastAsia" w:ascii="仿宋_GB2312" w:hAnsi="宋体" w:eastAsia="仿宋_GB2312" w:cs="仿宋_GB2312"/>
          <w:color w:val="000000"/>
          <w:kern w:val="0"/>
          <w:sz w:val="32"/>
          <w:szCs w:val="32"/>
          <w:lang w:val="en" w:eastAsia="zh-CN"/>
        </w:rPr>
        <w:t>关于开展四届区委第七轮巡察整改“向群众汇报”工作的公示</w:t>
      </w:r>
    </w:p>
    <w:p>
      <w:pPr>
        <w:ind w:firstLine="640" w:firstLineChars="200"/>
        <w:rPr>
          <w:rFonts w:ascii="仿宋_GB2312" w:hAnsi="宋体" w:eastAsia="仿宋_GB2312" w:cs="Times New Roman"/>
          <w:color w:val="000000"/>
          <w:kern w:val="0"/>
          <w:sz w:val="32"/>
          <w:szCs w:val="32"/>
        </w:rPr>
      </w:pPr>
    </w:p>
    <w:p>
      <w:pPr>
        <w:ind w:firstLine="640" w:firstLineChars="200"/>
        <w:rPr>
          <w:rFonts w:ascii="仿宋_GB2312" w:hAnsi="宋体" w:eastAsia="仿宋_GB2312" w:cs="Times New Roman"/>
          <w:color w:val="000000"/>
          <w:kern w:val="0"/>
          <w:sz w:val="32"/>
          <w:szCs w:val="32"/>
        </w:rPr>
      </w:pPr>
    </w:p>
    <w:p>
      <w:pPr>
        <w:ind w:firstLine="5120" w:firstLineChars="1600"/>
        <w:rPr>
          <w:rFonts w:hint="eastAsia"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 xml:space="preserve"> 2024</w:t>
      </w:r>
      <w:r>
        <w:rPr>
          <w:rFonts w:hint="eastAsia" w:ascii="仿宋_GB2312" w:hAnsi="宋体" w:eastAsia="仿宋_GB2312" w:cs="仿宋_GB2312"/>
          <w:color w:val="000000"/>
          <w:kern w:val="0"/>
          <w:sz w:val="32"/>
          <w:szCs w:val="32"/>
        </w:rPr>
        <w:t>年</w:t>
      </w:r>
      <w:r>
        <w:rPr>
          <w:rFonts w:ascii="仿宋_GB2312" w:hAnsi="宋体" w:eastAsia="仿宋_GB2312" w:cs="仿宋_GB2312"/>
          <w:color w:val="000000"/>
          <w:kern w:val="0"/>
          <w:sz w:val="32"/>
          <w:szCs w:val="32"/>
        </w:rPr>
        <w:t>7</w:t>
      </w:r>
      <w:r>
        <w:rPr>
          <w:rFonts w:hint="eastAsia" w:ascii="仿宋_GB2312" w:hAnsi="宋体" w:eastAsia="仿宋_GB2312" w:cs="仿宋_GB2312"/>
          <w:color w:val="000000"/>
          <w:kern w:val="0"/>
          <w:sz w:val="32"/>
          <w:szCs w:val="32"/>
        </w:rPr>
        <w:t>月</w:t>
      </w: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lang w:val="en-US" w:eastAsia="zh-CN"/>
        </w:rPr>
        <w:t>7</w:t>
      </w:r>
      <w:r>
        <w:rPr>
          <w:rFonts w:ascii="仿宋_GB2312" w:hAnsi="宋体" w:eastAsia="仿宋_GB2312" w:cs="仿宋_GB2312"/>
          <w:color w:val="000000"/>
          <w:kern w:val="0"/>
          <w:sz w:val="32"/>
          <w:szCs w:val="32"/>
        </w:rPr>
        <w:t xml:space="preserve"> </w:t>
      </w:r>
      <w:r>
        <w:rPr>
          <w:rFonts w:hint="eastAsia" w:ascii="仿宋_GB2312" w:hAnsi="宋体" w:eastAsia="仿宋_GB2312" w:cs="仿宋_GB2312"/>
          <w:color w:val="000000"/>
          <w:kern w:val="0"/>
          <w:sz w:val="32"/>
          <w:szCs w:val="32"/>
        </w:rPr>
        <w:t>日</w:t>
      </w:r>
    </w:p>
    <w:p>
      <w:pPr>
        <w:pStyle w:val="2"/>
        <w:rPr>
          <w:rFonts w:hint="eastAsia" w:ascii="仿宋_GB2312" w:hAnsi="宋体" w:eastAsia="仿宋_GB2312" w:cs="仿宋_GB2312"/>
          <w:color w:val="000000"/>
          <w:kern w:val="0"/>
          <w:sz w:val="32"/>
          <w:szCs w:val="32"/>
        </w:rPr>
      </w:pPr>
    </w:p>
    <w:p>
      <w:pPr>
        <w:rPr>
          <w:rFonts w:hint="eastAsia" w:ascii="仿宋_GB2312" w:hAnsi="宋体" w:eastAsia="仿宋_GB2312" w:cs="仿宋_GB2312"/>
          <w:color w:val="000000"/>
          <w:kern w:val="0"/>
          <w:sz w:val="32"/>
          <w:szCs w:val="32"/>
        </w:rPr>
      </w:pPr>
    </w:p>
    <w:p>
      <w:pPr>
        <w:pStyle w:val="2"/>
        <w:rPr>
          <w:rFonts w:hint="eastAsia" w:ascii="仿宋_GB2312" w:hAnsi="宋体"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_GBK" w:hAnsi="方正小标宋_GBK" w:eastAsia="方正小标宋_GBK" w:cs="方正小标宋_GBK"/>
          <w:b/>
          <w:bCs/>
          <w:sz w:val="48"/>
          <w:szCs w:val="48"/>
          <w:lang w:val="en" w:eastAsia="zh-CN"/>
        </w:rPr>
      </w:pPr>
      <w:r>
        <w:rPr>
          <w:rFonts w:hint="eastAsia" w:ascii="方正小标宋_GBK" w:hAnsi="方正小标宋_GBK" w:eastAsia="方正小标宋_GBK" w:cs="方正小标宋_GBK"/>
          <w:b/>
          <w:bCs/>
          <w:sz w:val="48"/>
          <w:szCs w:val="48"/>
          <w:lang w:val="en" w:eastAsia="zh-CN"/>
        </w:rPr>
        <w:t>关于开展四届区委第七轮巡察整改</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_GBK" w:hAnsi="方正小标宋_GBK" w:eastAsia="方正小标宋_GBK" w:cs="方正小标宋_GBK"/>
          <w:b/>
          <w:bCs/>
          <w:sz w:val="48"/>
          <w:szCs w:val="48"/>
          <w:lang w:val="en" w:eastAsia="zh-CN"/>
        </w:rPr>
      </w:pPr>
      <w:r>
        <w:rPr>
          <w:rFonts w:hint="eastAsia" w:ascii="方正小标宋_GBK" w:hAnsi="方正小标宋_GBK" w:eastAsia="方正小标宋_GBK" w:cs="方正小标宋_GBK"/>
          <w:b/>
          <w:bCs/>
          <w:sz w:val="48"/>
          <w:szCs w:val="48"/>
          <w:lang w:val="en" w:eastAsia="zh-CN"/>
        </w:rPr>
        <w:t>“向群众汇报”工作的公示</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方正仿宋_GBK" w:hAnsi="方正仿宋_GBK" w:eastAsia="方正仿宋_GBK" w:cs="方正仿宋_GBK"/>
          <w:b/>
          <w:bCs/>
          <w:sz w:val="32"/>
          <w:szCs w:val="32"/>
          <w:lang w:val="en" w:eastAsia="zh-CN"/>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方正仿宋_GBK" w:hAnsi="方正仿宋_GBK" w:eastAsia="方正仿宋_GBK" w:cs="方正仿宋_GBK"/>
          <w:b/>
          <w:bCs/>
          <w:sz w:val="36"/>
          <w:szCs w:val="36"/>
          <w:lang w:val="en" w:eastAsia="zh-CN"/>
        </w:rPr>
      </w:pPr>
      <w:r>
        <w:rPr>
          <w:rFonts w:hint="eastAsia" w:ascii="方正仿宋_GBK" w:hAnsi="方正仿宋_GBK" w:eastAsia="方正仿宋_GBK" w:cs="方正仿宋_GBK"/>
          <w:b/>
          <w:bCs/>
          <w:sz w:val="36"/>
          <w:szCs w:val="36"/>
          <w:lang w:val="en" w:eastAsia="zh-CN"/>
        </w:rPr>
        <w:t>滨海新区广大市民朋友们：</w:t>
      </w:r>
    </w:p>
    <w:p>
      <w:pPr>
        <w:keepNext w:val="0"/>
        <w:keepLines w:val="0"/>
        <w:pageBreakBefore w:val="0"/>
        <w:widowControl w:val="0"/>
        <w:kinsoku/>
        <w:wordWrap/>
        <w:overflowPunct/>
        <w:topLinePunct w:val="0"/>
        <w:autoSpaceDE/>
        <w:autoSpaceDN/>
        <w:bidi w:val="0"/>
        <w:adjustRightInd/>
        <w:snapToGrid w:val="0"/>
        <w:spacing w:line="600" w:lineRule="exact"/>
        <w:ind w:firstLine="720"/>
        <w:textAlignment w:val="auto"/>
        <w:rPr>
          <w:rFonts w:hint="default" w:ascii="方正仿宋_GBK" w:hAnsi="方正仿宋_GBK" w:eastAsia="方正仿宋_GBK" w:cs="方正仿宋_GBK"/>
          <w:b/>
          <w:bCs/>
          <w:sz w:val="36"/>
          <w:szCs w:val="36"/>
          <w:lang w:val="en-US" w:eastAsia="zh-CN"/>
        </w:rPr>
      </w:pPr>
      <w:r>
        <w:rPr>
          <w:rFonts w:hint="eastAsia" w:ascii="方正仿宋_GBK" w:hAnsi="方正仿宋_GBK" w:eastAsia="方正仿宋_GBK" w:cs="方正仿宋_GBK"/>
          <w:b/>
          <w:bCs/>
          <w:sz w:val="36"/>
          <w:szCs w:val="36"/>
          <w:lang w:val="en-US" w:eastAsia="zh-CN"/>
        </w:rPr>
        <w:t>为充分发挥党密切联系群众的政治优势，推动巡察整改走深走实，按照区委巡察办关于“向群众汇报”工作要求，现将区人社局党组落实区委巡察整改中3个事关群众关心关注的问题整改情况向大家公示，接受社会监督。恳请大家积极参与，在百忙之中抽出您的宝贵时间，填写《区人社局党组落实巡察整改“向群众汇报工作”征求意见表》，对问题整改情况进行评价并提出意见建议。意见反馈时间截至2024年7月23日，逾期视为无意见。</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720" w:firstLineChars="200"/>
        <w:textAlignment w:val="auto"/>
        <w:rPr>
          <w:rFonts w:hint="eastAsia" w:ascii="方正黑体_GBK" w:hAnsi="方正黑体_GBK" w:eastAsia="方正黑体_GBK" w:cs="方正黑体_GBK"/>
          <w:b/>
          <w:bCs/>
          <w:sz w:val="36"/>
          <w:szCs w:val="36"/>
          <w:lang w:val="en-US" w:eastAsia="zh-CN"/>
        </w:rPr>
      </w:pPr>
      <w:r>
        <w:rPr>
          <w:rFonts w:hint="eastAsia" w:ascii="方正黑体_GBK" w:hAnsi="方正黑体_GBK" w:eastAsia="方正黑体_GBK" w:cs="方正黑体_GBK"/>
          <w:b/>
          <w:bCs/>
          <w:sz w:val="36"/>
          <w:szCs w:val="36"/>
          <w:lang w:val="en-US" w:eastAsia="zh-CN"/>
        </w:rPr>
        <w:t>一、针对4J-7L-7Z-RSJ-003“维护劳动者权益用心用情不深，所属区劳动仲裁院办理仲裁案件质量不高，2023年共受理劳动仲裁案件1595件，法院改判和仲裁院受理超期案件共197件，占比12.3%。”问题，整改情况如下：</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720" w:firstLineChars="200"/>
        <w:textAlignment w:val="auto"/>
        <w:rPr>
          <w:rFonts w:hint="eastAsia" w:ascii="方正仿宋_GBK" w:hAnsi="方正仿宋_GBK" w:eastAsia="方正仿宋_GBK" w:cs="方正仿宋_GBK"/>
          <w:b/>
          <w:bCs/>
          <w:sz w:val="36"/>
          <w:szCs w:val="36"/>
          <w:lang w:val="en-US" w:eastAsia="zh-CN"/>
        </w:rPr>
      </w:pPr>
      <w:r>
        <w:rPr>
          <w:rFonts w:hint="eastAsia" w:ascii="方正仿宋_GBK" w:hAnsi="方正仿宋_GBK" w:eastAsia="方正仿宋_GBK" w:cs="方正仿宋_GBK"/>
          <w:b/>
          <w:bCs/>
          <w:sz w:val="36"/>
          <w:szCs w:val="36"/>
          <w:lang w:val="en-US" w:eastAsia="zh-CN"/>
        </w:rPr>
        <w:t>一是制定专题学习计划，组织全院职工学思践悟习近平法治思想，进一步树牢仲裁为民理念。深入践行“四下基层”，扎实做好源头预防工作，到辖区街镇、企业座谈调研6次，上门为企业送政策、送服务，帮助企业解决管理中的难题；招聘现场普法宣传3次，设立咨询服务台、发放《劳动争议政策问答》《企业用工明白纸》、开展现场答疑解惑，指导企业落实劳动合同，规范用工管理，指引劳动者保护自身权益；高校宣讲1次，指导高校毕业生了解劳动法律、及时防范风险，营造人社优质服务“样板间”；“企业服务日”“劳动关系大讲堂”共为90余家企业进行政策宣讲、法律法规宣传，为近千名基层调解员举办合规用工及劳动争议调解相关知识培训。</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720" w:firstLineChars="200"/>
        <w:textAlignment w:val="auto"/>
        <w:rPr>
          <w:rFonts w:hint="eastAsia" w:ascii="方正仿宋_GBK" w:hAnsi="方正仿宋_GBK" w:eastAsia="方正仿宋_GBK" w:cs="方正仿宋_GBK"/>
          <w:b/>
          <w:bCs/>
          <w:sz w:val="36"/>
          <w:szCs w:val="36"/>
          <w:lang w:val="en-US" w:eastAsia="zh-CN"/>
        </w:rPr>
      </w:pPr>
      <w:r>
        <w:rPr>
          <w:rFonts w:hint="eastAsia" w:ascii="方正仿宋_GBK" w:hAnsi="方正仿宋_GBK" w:eastAsia="方正仿宋_GBK" w:cs="方正仿宋_GBK"/>
          <w:b/>
          <w:bCs/>
          <w:sz w:val="36"/>
          <w:szCs w:val="36"/>
          <w:lang w:val="en-US" w:eastAsia="zh-CN"/>
        </w:rPr>
        <w:t>二是到市仲裁院观摩学习，交流先进经验做法。组织年轻干部开展模拟庭审、案例研讨活动，切实提高业务能力。强化仲裁流程节点管控，明确受理案件流转时间节点，对案件审限进行监测、预警、催办，做到争议案件在45日内审结。不断扩大速裁范围，对涉及农民工工资争议及案件事实清楚、争议不大的案件开辟“绿色速裁通道”。</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720" w:firstLineChars="200"/>
        <w:textAlignment w:val="auto"/>
        <w:rPr>
          <w:rFonts w:hint="eastAsia" w:ascii="方正仿宋_GBK" w:hAnsi="方正仿宋_GBK" w:eastAsia="方正仿宋_GBK" w:cs="方正仿宋_GBK"/>
          <w:b/>
          <w:bCs/>
          <w:sz w:val="36"/>
          <w:szCs w:val="36"/>
          <w:lang w:val="en-US" w:eastAsia="zh-CN"/>
        </w:rPr>
      </w:pPr>
      <w:r>
        <w:rPr>
          <w:rFonts w:hint="eastAsia" w:ascii="方正仿宋_GBK" w:hAnsi="方正仿宋_GBK" w:eastAsia="方正仿宋_GBK" w:cs="方正仿宋_GBK"/>
          <w:b/>
          <w:bCs/>
          <w:sz w:val="36"/>
          <w:szCs w:val="36"/>
          <w:lang w:val="en-US" w:eastAsia="zh-CN"/>
        </w:rPr>
        <w:t>三是积极对接区人民法院，召开裁审衔接联席会议2次，针对工伤停工留薪期提前结束待遇等裁审实务中典型疑难问题进行研讨，优化调解文书司法确认流程，深化应用“总对总”调审对接机制，明确劳动争议案件裁审信息比对机制，结合平安天津建设劳动争议多元处理考核任务，与区人民法院开展年度裁审信息比对，进一步统一裁审标准。</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720" w:firstLineChars="200"/>
        <w:textAlignment w:val="auto"/>
        <w:rPr>
          <w:rFonts w:hint="eastAsia" w:ascii="方正仿宋_GBK" w:hAnsi="方正仿宋_GBK" w:eastAsia="方正仿宋_GBK" w:cs="方正仿宋_GBK"/>
          <w:b/>
          <w:bCs/>
          <w:sz w:val="36"/>
          <w:szCs w:val="36"/>
          <w:lang w:val="en-US" w:eastAsia="zh-CN"/>
        </w:rPr>
      </w:pPr>
      <w:r>
        <w:rPr>
          <w:rFonts w:hint="eastAsia" w:ascii="方正仿宋_GBK" w:hAnsi="方正仿宋_GBK" w:eastAsia="方正仿宋_GBK" w:cs="方正仿宋_GBK"/>
          <w:b/>
          <w:bCs/>
          <w:sz w:val="36"/>
          <w:szCs w:val="36"/>
          <w:lang w:val="en-US" w:eastAsia="zh-CN"/>
        </w:rPr>
        <w:t>四是举一反三抓整改。全年开展仲裁干部“大练兵”活动。落实“第一议题”制度，上半年组织集中学习7次，工作人员的党性意识、大局意识、服务意识不断增强；通过业务练兵，业务能力和办案质效进一步提升。</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firstLine="720" w:firstLineChars="200"/>
        <w:textAlignment w:val="auto"/>
        <w:rPr>
          <w:rFonts w:hint="eastAsia" w:ascii="方正黑体_GBK" w:hAnsi="方正黑体_GBK" w:eastAsia="方正黑体_GBK" w:cs="方正黑体_GBK"/>
          <w:b/>
          <w:bCs/>
          <w:sz w:val="36"/>
          <w:szCs w:val="36"/>
          <w:lang w:val="en-US" w:eastAsia="zh-CN"/>
        </w:rPr>
      </w:pPr>
      <w:r>
        <w:rPr>
          <w:rFonts w:hint="eastAsia" w:ascii="方正黑体_GBK" w:hAnsi="方正黑体_GBK" w:eastAsia="方正黑体_GBK" w:cs="方正黑体_GBK"/>
          <w:b/>
          <w:bCs/>
          <w:sz w:val="36"/>
          <w:szCs w:val="36"/>
          <w:lang w:val="en-US" w:eastAsia="zh-CN"/>
        </w:rPr>
        <w:t>针对4J-7L-7Z-RSJ-004“对待群众信访事项存在重办理、轻回访的现象，回访率仅为40%”问题，整改情况如下：</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720" w:firstLineChars="200"/>
        <w:textAlignment w:val="auto"/>
        <w:rPr>
          <w:rFonts w:hint="eastAsia" w:ascii="方正仿宋_GBK" w:hAnsi="方正仿宋_GBK" w:eastAsia="方正仿宋_GBK" w:cs="方正仿宋_GBK"/>
          <w:b/>
          <w:bCs/>
          <w:sz w:val="36"/>
          <w:szCs w:val="36"/>
          <w:lang w:val="en-US" w:eastAsia="zh-CN"/>
        </w:rPr>
      </w:pPr>
      <w:r>
        <w:rPr>
          <w:rFonts w:hint="eastAsia" w:ascii="方正仿宋_GBK" w:hAnsi="方正仿宋_GBK" w:eastAsia="方正仿宋_GBK" w:cs="方正仿宋_GBK"/>
          <w:b/>
          <w:bCs/>
          <w:sz w:val="36"/>
          <w:szCs w:val="36"/>
          <w:lang w:val="en-US" w:eastAsia="zh-CN"/>
        </w:rPr>
        <w:t>一是坚持高位推动，加强自身建设。学习践行新时代“枫桥经验”、“浦江经验”，坚持“四下基层”，结合领导干部接访下访工作要求，加强和信访人及属地单位的沟通交流，全面落实“一沟通两见面”要求，努力做到“案结事了”“事心双解”，化解矛盾。今年上半年，区人社局及时受理率、按期答复率均为100%。</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720" w:firstLineChars="200"/>
        <w:textAlignment w:val="auto"/>
        <w:rPr>
          <w:rFonts w:hint="eastAsia" w:ascii="方正仿宋_GBK" w:hAnsi="方正仿宋_GBK" w:eastAsia="方正仿宋_GBK" w:cs="方正仿宋_GBK"/>
          <w:b/>
          <w:bCs/>
          <w:sz w:val="36"/>
          <w:szCs w:val="36"/>
          <w:lang w:val="en-US" w:eastAsia="zh-CN"/>
        </w:rPr>
      </w:pPr>
      <w:r>
        <w:rPr>
          <w:rFonts w:hint="eastAsia" w:ascii="方正仿宋_GBK" w:hAnsi="方正仿宋_GBK" w:eastAsia="方正仿宋_GBK" w:cs="方正仿宋_GBK"/>
          <w:b/>
          <w:bCs/>
          <w:sz w:val="36"/>
          <w:szCs w:val="36"/>
          <w:lang w:val="en-US" w:eastAsia="zh-CN"/>
        </w:rPr>
        <w:t>二是压实工作责任，健全信访矛盾处置工作机制。建立信访事项台账，实行信访案件专员制，建立主要领导牵头抓总、分管领导直接负责、部门领导牵头推动、工作专班具体落实工作机制，加大抓落实力度。对于重点信访事项，坚持“日监测、周汇总、月通报”调度机制，推动事要解决，化解存量风险。</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720" w:firstLineChars="200"/>
        <w:textAlignment w:val="auto"/>
        <w:rPr>
          <w:rFonts w:hint="eastAsia" w:ascii="方正仿宋_GBK" w:hAnsi="方正仿宋_GBK" w:eastAsia="方正仿宋_GBK" w:cs="方正仿宋_GBK"/>
          <w:b/>
          <w:bCs/>
          <w:sz w:val="36"/>
          <w:szCs w:val="36"/>
          <w:lang w:val="en-US" w:eastAsia="zh-CN"/>
        </w:rPr>
      </w:pPr>
      <w:r>
        <w:rPr>
          <w:rFonts w:hint="eastAsia" w:ascii="方正仿宋_GBK" w:hAnsi="方正仿宋_GBK" w:eastAsia="方正仿宋_GBK" w:cs="方正仿宋_GBK"/>
          <w:b/>
          <w:bCs/>
          <w:sz w:val="36"/>
          <w:szCs w:val="36"/>
          <w:lang w:val="en-US" w:eastAsia="zh-CN"/>
        </w:rPr>
        <w:t>三是完善制度机制，全面推进信访法治化工作。制定年度信访工作要点，修订完善《区人社局信访管理工作暂行办法》，贯彻落实《信访工作条例》及相关政策，做好信访法治化学习培训工作。积极落实信访法治化要求，制定信访事项“导引图”，实现信访办理流程闭环管理，压实信访责任，规范人社系统信访工作流程，做到程序合法与实体化解并重。</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720" w:firstLineChars="200"/>
        <w:textAlignment w:val="auto"/>
        <w:rPr>
          <w:rFonts w:hint="eastAsia" w:ascii="方正仿宋_GBK" w:hAnsi="方正仿宋_GBK" w:eastAsia="方正仿宋_GBK" w:cs="方正仿宋_GBK"/>
          <w:b/>
          <w:bCs/>
          <w:sz w:val="36"/>
          <w:szCs w:val="36"/>
          <w:lang w:val="en-US" w:eastAsia="zh-CN"/>
        </w:rPr>
      </w:pPr>
      <w:r>
        <w:rPr>
          <w:rFonts w:hint="eastAsia" w:ascii="方正仿宋_GBK" w:hAnsi="方正仿宋_GBK" w:eastAsia="方正仿宋_GBK" w:cs="方正仿宋_GBK"/>
          <w:b/>
          <w:bCs/>
          <w:sz w:val="36"/>
          <w:szCs w:val="36"/>
          <w:lang w:val="en-US" w:eastAsia="zh-CN"/>
        </w:rPr>
        <w:t>四是举一反三抓整改。制定局处长走流程和年轻干部在一线工作方案，切实发现和解决一批制约人社事业高质量发展、企业群众和基层单位反映强烈的现实问题，积极改进工作，提升人社服务质量。安排部署年轻干部信访窗口接访锻炼，在信访一线经风雨、见世面、壮筋骨，提升做群众工作的能力。</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720" w:firstLineChars="200"/>
        <w:textAlignment w:val="auto"/>
        <w:rPr>
          <w:rFonts w:hint="eastAsia" w:ascii="方正黑体_GBK" w:hAnsi="方正黑体_GBK" w:eastAsia="方正黑体_GBK" w:cs="方正黑体_GBK"/>
          <w:b/>
          <w:bCs/>
          <w:sz w:val="36"/>
          <w:szCs w:val="36"/>
          <w:lang w:val="en-US" w:eastAsia="zh-CN"/>
        </w:rPr>
      </w:pPr>
      <w:r>
        <w:rPr>
          <w:rFonts w:hint="eastAsia" w:ascii="方正黑体_GBK" w:hAnsi="方正黑体_GBK" w:eastAsia="方正黑体_GBK" w:cs="方正黑体_GBK"/>
          <w:b/>
          <w:bCs/>
          <w:sz w:val="36"/>
          <w:szCs w:val="36"/>
          <w:lang w:val="en-US" w:eastAsia="zh-CN"/>
        </w:rPr>
        <w:t>三、针对4J-7L-7Z-RSJ-006“局党组推进就业创业服务重点工作行动迟缓，2021年9月由于落实新区人才引进激励政策兑现不及时被国务院第八次大督查点名批评。2023年代表天津市申报的全国公共就业服务能力提升示范项目依然缺乏有力推动，没有全面完成区政府关于‘年底打造出有特色、叫得响、可复制的滨城经验’既定目标。”问题，整改情况如下：</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720" w:firstLineChars="200"/>
        <w:textAlignment w:val="auto"/>
        <w:rPr>
          <w:rFonts w:hint="eastAsia" w:ascii="方正仿宋_GBK" w:hAnsi="方正仿宋_GBK" w:eastAsia="方正仿宋_GBK" w:cs="方正仿宋_GBK"/>
          <w:b/>
          <w:bCs/>
          <w:sz w:val="36"/>
          <w:szCs w:val="36"/>
          <w:lang w:val="en-US" w:eastAsia="zh-CN"/>
        </w:rPr>
      </w:pPr>
      <w:r>
        <w:rPr>
          <w:rFonts w:hint="eastAsia" w:ascii="方正仿宋_GBK" w:hAnsi="方正仿宋_GBK" w:eastAsia="方正仿宋_GBK" w:cs="方正仿宋_GBK"/>
          <w:b/>
          <w:bCs/>
          <w:sz w:val="36"/>
          <w:szCs w:val="36"/>
          <w:lang w:val="en-US" w:eastAsia="zh-CN"/>
        </w:rPr>
        <w:t>一是加大政策公开力度，解决信息不畅问题，提升人才满意度。参与筹备市政府新闻办“以人才创新驱动新质生产力高质量发展”主题新闻发布会，区领导出席并积极介绍新区引才环境和政策。同时将政策在局网站宣传，对外公布人才咨询电话，及时做好来信来访接待，为人才解释政策，跟进工作进展，得到人才的理解。利用走访调研服务契机先后向瑞普生物、康希诺等企业宣讲人才政策，提升政策知晓度。加强与区委人才办、区财政局、各开发区人社局沟通协作，制定并印发关于博士后有关政策的补充说明，及时做好政策解释。结合《天津市人才发展促进条例》制定实施，邀请市人社局赴滨海新区开展政策宣讲活动，提升政策影响力。对于2024年度区人社局牵头政策预计执行兑现情况进行统计，确保各项政策合理运行。</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720" w:firstLineChars="200"/>
        <w:textAlignment w:val="auto"/>
        <w:rPr>
          <w:rFonts w:hint="eastAsia" w:ascii="方正仿宋_GBK" w:hAnsi="方正仿宋_GBK" w:eastAsia="方正仿宋_GBK" w:cs="方正仿宋_GBK"/>
          <w:b/>
          <w:bCs/>
          <w:sz w:val="36"/>
          <w:szCs w:val="36"/>
          <w:lang w:val="en-US" w:eastAsia="zh-CN"/>
        </w:rPr>
      </w:pPr>
      <w:r>
        <w:rPr>
          <w:rFonts w:hint="eastAsia" w:ascii="方正仿宋_GBK" w:hAnsi="方正仿宋_GBK" w:eastAsia="方正仿宋_GBK" w:cs="方正仿宋_GBK"/>
          <w:b/>
          <w:bCs/>
          <w:sz w:val="36"/>
          <w:szCs w:val="36"/>
          <w:lang w:val="en-US" w:eastAsia="zh-CN"/>
        </w:rPr>
        <w:t>二是加大特色引育力度，解决效果不彰问题，提升人才吸引力。组织“滨城人才季”（第三届）启动暨新质生产力专场招聘活动，在南开大学、天津大学、太原理工大学、天津工业大学、河北工业大学组织校园双选会，并赴北京化工大学、北京理工大学开展招聘对接，新质生产力招聘会线下42家企业，提供近500个岗位，现场求职者683人，投递简历数1525份，初步达成就业意向139人次。校园招聘累计收取简历3000余份，硕博占比超50%，达成意向超800人次。积极践行职称创新探索。争取职称自主评审权限下放，在市人社局支持下成立了全国首个石油石化职称自主评审委员会，信创海河实验室职称自主评委会实现了“六单一顶格”创新探索，允许信创海河实验室柔性引进的科研团队人才申报职称。</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720" w:firstLineChars="200"/>
        <w:textAlignment w:val="auto"/>
        <w:rPr>
          <w:rFonts w:hint="eastAsia" w:ascii="方正仿宋_GBK" w:hAnsi="方正仿宋_GBK" w:eastAsia="方正仿宋_GBK" w:cs="方正仿宋_GBK"/>
          <w:b/>
          <w:bCs/>
          <w:sz w:val="36"/>
          <w:szCs w:val="36"/>
          <w:lang w:val="en-US" w:eastAsia="zh-CN"/>
        </w:rPr>
      </w:pPr>
      <w:r>
        <w:rPr>
          <w:rFonts w:hint="eastAsia" w:ascii="方正仿宋_GBK" w:hAnsi="方正仿宋_GBK" w:eastAsia="方正仿宋_GBK" w:cs="方正仿宋_GBK"/>
          <w:b/>
          <w:bCs/>
          <w:sz w:val="36"/>
          <w:szCs w:val="36"/>
          <w:lang w:val="en-US" w:eastAsia="zh-CN"/>
        </w:rPr>
        <w:t>三是加大经验总结力度，解决影响不够问题，提升公共服务能力。全面加快完成示范项目甩尾工作，开展全区优秀创业企业展评，推广就业智岛服务活动，推动就业服务进校园、进社区。重点加快信息化系统平台开发建设，截至目前，智慧招聘系统已经正式上线运行，综合就业服务一体化平台、大数据分析系统也正在分模块上线试运行，经多次与市局沟通，基本实现市级“一库一平台”数据回流支持，预计7月底能够上线运行。全面做好示范项目经验总结提升，完成项目实施绩效评估，分项目提炼滨城特色建设经验加以推广应用。扎实推进全区“1+3+35+N”公共就业服务体系建设，加快充分就业示范社区创建，承办全市零工市场建设推动会，树立市级示范标杆。截至目前，产教训融合技能滨城建设、零工小镇建设、智慧化招聘等特色经验分别被中国劳动保障报、天津电视台等国家、市级主要媒体宣传报道。</w:t>
      </w:r>
    </w:p>
    <w:p>
      <w:pPr>
        <w:pStyle w:val="2"/>
        <w:ind w:left="0" w:leftChars="0" w:firstLine="720" w:firstLineChars="200"/>
        <w:rPr>
          <w:rFonts w:hint="eastAsia" w:ascii="方正仿宋_GBK" w:hAnsi="方正仿宋_GBK" w:eastAsia="方正仿宋_GBK" w:cs="方正仿宋_GBK"/>
          <w:b/>
          <w:bCs/>
          <w:sz w:val="36"/>
          <w:szCs w:val="36"/>
          <w:lang w:val="en-US" w:eastAsia="zh-CN"/>
        </w:rPr>
      </w:pPr>
      <w:r>
        <w:rPr>
          <w:rFonts w:hint="eastAsia" w:ascii="方正仿宋_GBK" w:hAnsi="方正仿宋_GBK" w:eastAsia="方正仿宋_GBK" w:cs="方正仿宋_GBK"/>
          <w:b/>
          <w:bCs/>
          <w:sz w:val="36"/>
          <w:szCs w:val="36"/>
          <w:lang w:val="en-US" w:eastAsia="zh-CN"/>
        </w:rPr>
        <w:t>虽然巡察整改工作取得了阶段性成效，但我们的工作距离区委、区政府要求，距离群众需求还有一定的差距。比如，创新能力有待进一步提高，与先进省市、与全市其他区相比，“大就业”意识尚未形成，落实习近平总书记“高质量充分就业”重要要求还没有完全到位，社会保险体系建设还需进一步完善。又如，服务能力和水平有待进一步提升，人社政策宣传尚未做到家喻户晓，信息化建设推进便民服务水平有待进一步加强，人社窗口服务标准、工作人员服务水平和服务效能还有许多不完善的地方。</w:t>
      </w:r>
    </w:p>
    <w:p>
      <w:pPr>
        <w:pStyle w:val="2"/>
        <w:ind w:left="0" w:leftChars="0" w:firstLine="720" w:firstLineChars="200"/>
        <w:rPr>
          <w:rFonts w:hint="eastAsia" w:ascii="方正仿宋_GBK" w:hAnsi="方正仿宋_GBK" w:eastAsia="方正仿宋_GBK" w:cs="方正仿宋_GBK"/>
          <w:b/>
          <w:bCs/>
          <w:sz w:val="36"/>
          <w:szCs w:val="36"/>
          <w:lang w:val="en-US" w:eastAsia="zh-CN"/>
        </w:rPr>
      </w:pPr>
      <w:r>
        <w:rPr>
          <w:rFonts w:hint="eastAsia" w:ascii="方正仿宋_GBK" w:hAnsi="方正仿宋_GBK" w:eastAsia="方正仿宋_GBK" w:cs="方正仿宋_GBK"/>
          <w:b/>
          <w:bCs/>
          <w:sz w:val="36"/>
          <w:szCs w:val="36"/>
          <w:lang w:val="en-US" w:eastAsia="zh-CN"/>
        </w:rPr>
        <w:t>区人社局的工作离不开党中央、市区委的坚强领导，离不开各级部门的大力支持，更离不开广大群众的充分理解和高度关注。今后，我们将坚持以习近平新时代中国特色社会主义思想为指导，深入学习贯彻党的二十大和二十届二中、三中全会精神，抓住巡察整改的有利契机，进一步提高政治站位，发扬斗争精神，坚持自我革命，对标对表、高质高效、从严从实抓好整改，全面改进工作作风、高质量推进人社各项工作任务，以巡察整改新成效推动人社事业新发展，为加快建设“四宜”美丽滨城建设做出积极的贡献。</w:t>
      </w:r>
    </w:p>
    <w:p>
      <w:pPr>
        <w:pStyle w:val="2"/>
        <w:ind w:left="0" w:leftChars="0" w:firstLine="720" w:firstLineChars="200"/>
        <w:rPr>
          <w:rFonts w:hint="eastAsia" w:ascii="方正仿宋_GBK" w:hAnsi="方正仿宋_GBK" w:eastAsia="方正仿宋_GBK" w:cs="方正仿宋_GBK"/>
          <w:b/>
          <w:bCs/>
          <w:sz w:val="36"/>
          <w:szCs w:val="36"/>
          <w:lang w:val="en-US" w:eastAsia="zh-CN"/>
        </w:rPr>
      </w:pPr>
    </w:p>
    <w:p>
      <w:pPr>
        <w:rPr>
          <w:rFonts w:hint="eastAsia" w:ascii="方正仿宋_GBK" w:hAnsi="方正仿宋_GBK" w:eastAsia="方正仿宋_GBK" w:cs="方正仿宋_GBK"/>
          <w:b/>
          <w:bCs/>
          <w:sz w:val="36"/>
          <w:szCs w:val="36"/>
          <w:lang w:val="en-US" w:eastAsia="zh-CN"/>
        </w:rPr>
      </w:pPr>
    </w:p>
    <w:p>
      <w:pPr>
        <w:pStyle w:val="2"/>
        <w:rPr>
          <w:rFonts w:hint="default"/>
          <w:lang w:val="en-US" w:eastAsia="zh-CN"/>
        </w:rPr>
      </w:pPr>
      <w:r>
        <w:rPr>
          <w:rFonts w:hint="eastAsia" w:ascii="方正仿宋_GBK" w:hAnsi="方正仿宋_GBK" w:eastAsia="方正仿宋_GBK" w:cs="方正仿宋_GBK"/>
          <w:b/>
          <w:bCs/>
          <w:sz w:val="36"/>
          <w:szCs w:val="36"/>
          <w:lang w:val="en-US" w:eastAsia="zh-CN"/>
        </w:rPr>
        <w:t xml:space="preserve">             2024年7月18日</w:t>
      </w:r>
    </w:p>
    <w:p>
      <w:pPr>
        <w:pStyle w:val="2"/>
        <w:rPr>
          <w:rFonts w:hint="eastAsia" w:ascii="方正仿宋_GBK" w:hAnsi="方正仿宋_GBK" w:eastAsia="方正仿宋_GBK" w:cs="方正仿宋_GBK"/>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640"/>
        <w:jc w:val="center"/>
        <w:textAlignment w:val="auto"/>
        <w:rPr>
          <w:rFonts w:hint="eastAsia" w:ascii="方正黑体_GBK" w:hAnsi="方正黑体_GBK" w:eastAsia="方正黑体_GBK" w:cs="方正黑体_GBK"/>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640"/>
        <w:jc w:val="center"/>
        <w:textAlignment w:val="auto"/>
        <w:rPr>
          <w:rFonts w:hint="eastAsia" w:ascii="方正黑体_GBK" w:hAnsi="方正黑体_GBK" w:eastAsia="方正黑体_GBK" w:cs="方正黑体_GBK"/>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640"/>
        <w:jc w:val="center"/>
        <w:textAlignment w:val="auto"/>
        <w:rPr>
          <w:rFonts w:hint="eastAsia" w:ascii="方正黑体_GBK" w:hAnsi="方正黑体_GBK" w:eastAsia="方正黑体_GBK" w:cs="方正黑体_GBK"/>
          <w:b/>
          <w:bCs/>
          <w:sz w:val="36"/>
          <w:szCs w:val="36"/>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600" w:lineRule="exact"/>
        <w:ind w:firstLine="640"/>
        <w:jc w:val="center"/>
        <w:textAlignment w:val="auto"/>
        <w:rPr>
          <w:rFonts w:hint="eastAsia" w:ascii="方正黑体_GBK" w:hAnsi="方正黑体_GBK" w:eastAsia="方正黑体_GBK" w:cs="方正黑体_GBK"/>
          <w:b/>
          <w:bCs/>
          <w:sz w:val="36"/>
          <w:szCs w:val="36"/>
          <w:lang w:val="en-US" w:eastAsia="zh-CN"/>
        </w:rPr>
      </w:pPr>
      <w:r>
        <w:rPr>
          <w:rFonts w:hint="eastAsia" w:ascii="方正黑体_GBK" w:hAnsi="方正黑体_GBK" w:eastAsia="方正黑体_GBK" w:cs="方正黑体_GBK"/>
          <w:b/>
          <w:bCs/>
          <w:sz w:val="36"/>
          <w:szCs w:val="36"/>
          <w:lang w:val="en-US" w:eastAsia="zh-CN"/>
        </w:rPr>
        <w:t>区人社局党组落实巡察整改“向群众汇报工作”</w:t>
      </w:r>
    </w:p>
    <w:p>
      <w:pPr>
        <w:keepNext w:val="0"/>
        <w:keepLines w:val="0"/>
        <w:pageBreakBefore w:val="0"/>
        <w:widowControl w:val="0"/>
        <w:kinsoku/>
        <w:wordWrap/>
        <w:overflowPunct/>
        <w:topLinePunct w:val="0"/>
        <w:autoSpaceDE/>
        <w:autoSpaceDN/>
        <w:bidi w:val="0"/>
        <w:adjustRightInd/>
        <w:snapToGrid w:val="0"/>
        <w:spacing w:line="600" w:lineRule="exact"/>
        <w:ind w:firstLine="640"/>
        <w:jc w:val="center"/>
        <w:textAlignment w:val="auto"/>
        <w:rPr>
          <w:rFonts w:hint="eastAsia" w:ascii="方正黑体_GBK" w:hAnsi="方正黑体_GBK" w:eastAsia="方正黑体_GBK" w:cs="方正黑体_GBK"/>
          <w:b/>
          <w:bCs/>
          <w:sz w:val="36"/>
          <w:szCs w:val="36"/>
          <w:lang w:val="en-US" w:eastAsia="zh-CN"/>
        </w:rPr>
      </w:pPr>
      <w:r>
        <w:rPr>
          <w:rFonts w:hint="eastAsia" w:ascii="方正黑体_GBK" w:hAnsi="方正黑体_GBK" w:eastAsia="方正黑体_GBK" w:cs="方正黑体_GBK"/>
          <w:b/>
          <w:bCs/>
          <w:sz w:val="36"/>
          <w:szCs w:val="36"/>
          <w:lang w:val="en-US" w:eastAsia="zh-CN"/>
        </w:rPr>
        <w:t>征求意见表</w:t>
      </w:r>
    </w:p>
    <w:p>
      <w:pPr>
        <w:pStyle w:val="2"/>
        <w:rPr>
          <w:rFonts w:hint="eastAsia"/>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2657"/>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noWrap w:val="0"/>
            <w:vAlign w:val="top"/>
          </w:tcPr>
          <w:p>
            <w:pPr>
              <w:jc w:val="center"/>
              <w:rPr>
                <w:rFonts w:hint="eastAsia"/>
                <w:vertAlign w:val="baseline"/>
                <w:lang w:val="en-US" w:eastAsia="zh-CN"/>
              </w:rPr>
            </w:pPr>
            <w:r>
              <w:rPr>
                <w:rFonts w:hint="eastAsia"/>
                <w:vertAlign w:val="baseline"/>
                <w:lang w:val="en-US" w:eastAsia="zh-CN"/>
              </w:rPr>
              <w:t>序号</w:t>
            </w:r>
          </w:p>
        </w:tc>
        <w:tc>
          <w:tcPr>
            <w:tcW w:w="2657" w:type="dxa"/>
            <w:noWrap w:val="0"/>
            <w:vAlign w:val="center"/>
          </w:tcPr>
          <w:p>
            <w:pPr>
              <w:jc w:val="center"/>
              <w:rPr>
                <w:rFonts w:hint="eastAsia"/>
                <w:vertAlign w:val="baseline"/>
                <w:lang w:val="en-US" w:eastAsia="zh-CN"/>
              </w:rPr>
            </w:pPr>
            <w:r>
              <w:rPr>
                <w:rFonts w:hint="eastAsia"/>
                <w:vertAlign w:val="baseline"/>
                <w:lang w:val="en-US" w:eastAsia="zh-CN"/>
              </w:rPr>
              <w:t>问题编号</w:t>
            </w:r>
          </w:p>
        </w:tc>
        <w:tc>
          <w:tcPr>
            <w:tcW w:w="1704" w:type="dxa"/>
            <w:noWrap w:val="0"/>
            <w:vAlign w:val="top"/>
          </w:tcPr>
          <w:p>
            <w:pPr>
              <w:jc w:val="center"/>
              <w:rPr>
                <w:rFonts w:hint="eastAsia"/>
                <w:vertAlign w:val="baseline"/>
                <w:lang w:val="en-US" w:eastAsia="zh-CN"/>
              </w:rPr>
            </w:pPr>
            <w:r>
              <w:rPr>
                <w:rFonts w:hint="eastAsia"/>
                <w:vertAlign w:val="baseline"/>
                <w:lang w:val="en-US" w:eastAsia="zh-CN"/>
              </w:rPr>
              <w:t>评价档次</w:t>
            </w:r>
          </w:p>
        </w:tc>
        <w:tc>
          <w:tcPr>
            <w:tcW w:w="1705" w:type="dxa"/>
            <w:noWrap w:val="0"/>
            <w:vAlign w:val="top"/>
          </w:tcPr>
          <w:p>
            <w:pPr>
              <w:jc w:val="center"/>
              <w:rPr>
                <w:rFonts w:hint="eastAsia"/>
                <w:vertAlign w:val="baseline"/>
                <w:lang w:val="en-US" w:eastAsia="zh-CN"/>
              </w:rPr>
            </w:pPr>
            <w:r>
              <w:rPr>
                <w:rFonts w:hint="eastAsia"/>
                <w:vertAlign w:val="baseline"/>
                <w:lang w:val="en-US" w:eastAsia="zh-CN"/>
              </w:rPr>
              <w:t>等次（打√）</w:t>
            </w:r>
          </w:p>
        </w:tc>
        <w:tc>
          <w:tcPr>
            <w:tcW w:w="1705" w:type="dxa"/>
            <w:noWrap w:val="0"/>
            <w:vAlign w:val="top"/>
          </w:tcPr>
          <w:p>
            <w:pPr>
              <w:jc w:val="center"/>
              <w:rPr>
                <w:rFonts w:hint="eastAsia"/>
                <w:vertAlign w:val="baseline"/>
                <w:lang w:val="en-US" w:eastAsia="zh-CN"/>
              </w:rPr>
            </w:pPr>
            <w:r>
              <w:rPr>
                <w:rFonts w:hint="eastAsia"/>
                <w:vertAlign w:val="baseline"/>
                <w:lang w:val="en-US" w:eastAsia="zh-CN"/>
              </w:rPr>
              <w:t>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noWrap w:val="0"/>
            <w:vAlign w:val="top"/>
          </w:tcPr>
          <w:p>
            <w:pPr>
              <w:jc w:val="center"/>
              <w:rPr>
                <w:rFonts w:hint="default"/>
                <w:vertAlign w:val="baseline"/>
                <w:lang w:val="en-US" w:eastAsia="zh-CN"/>
              </w:rPr>
            </w:pPr>
            <w:r>
              <w:rPr>
                <w:rFonts w:hint="eastAsia"/>
                <w:vertAlign w:val="baseline"/>
                <w:lang w:val="en-US" w:eastAsia="zh-CN"/>
              </w:rPr>
              <w:t>1</w:t>
            </w:r>
          </w:p>
        </w:tc>
        <w:tc>
          <w:tcPr>
            <w:tcW w:w="2657" w:type="dxa"/>
            <w:vMerge w:val="restart"/>
            <w:noWrap w:val="0"/>
            <w:vAlign w:val="center"/>
          </w:tcPr>
          <w:p>
            <w:pPr>
              <w:jc w:val="center"/>
              <w:rPr>
                <w:rFonts w:hint="eastAsia"/>
                <w:vertAlign w:val="baseline"/>
                <w:lang w:val="en-US" w:eastAsia="zh-CN"/>
              </w:rPr>
            </w:pPr>
            <w:r>
              <w:rPr>
                <w:rFonts w:hint="eastAsia"/>
                <w:vertAlign w:val="baseline"/>
                <w:lang w:val="en-US" w:eastAsia="zh-CN"/>
              </w:rPr>
              <w:t>4J-7L-7Z-RSJ-003</w:t>
            </w:r>
          </w:p>
        </w:tc>
        <w:tc>
          <w:tcPr>
            <w:tcW w:w="1704" w:type="dxa"/>
            <w:noWrap w:val="0"/>
            <w:vAlign w:val="top"/>
          </w:tcPr>
          <w:p>
            <w:pPr>
              <w:jc w:val="center"/>
              <w:rPr>
                <w:rFonts w:hint="eastAsia"/>
                <w:vertAlign w:val="baseline"/>
                <w:lang w:val="en-US" w:eastAsia="zh-CN"/>
              </w:rPr>
            </w:pPr>
            <w:r>
              <w:rPr>
                <w:rFonts w:hint="eastAsia"/>
                <w:vertAlign w:val="baseline"/>
                <w:lang w:val="en-US" w:eastAsia="zh-CN"/>
              </w:rPr>
              <w:t>满意</w:t>
            </w:r>
          </w:p>
        </w:tc>
        <w:tc>
          <w:tcPr>
            <w:tcW w:w="1705" w:type="dxa"/>
            <w:noWrap w:val="0"/>
            <w:vAlign w:val="top"/>
          </w:tcPr>
          <w:p>
            <w:pPr>
              <w:jc w:val="center"/>
              <w:rPr>
                <w:rFonts w:hint="eastAsia"/>
                <w:vertAlign w:val="baseline"/>
                <w:lang w:val="en-US" w:eastAsia="zh-CN"/>
              </w:rPr>
            </w:pPr>
          </w:p>
        </w:tc>
        <w:tc>
          <w:tcPr>
            <w:tcW w:w="1705" w:type="dxa"/>
            <w:vMerge w:val="restart"/>
            <w:noWrap w:val="0"/>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noWrap w:val="0"/>
            <w:vAlign w:val="top"/>
          </w:tcPr>
          <w:p>
            <w:pPr>
              <w:jc w:val="center"/>
              <w:rPr>
                <w:rFonts w:hint="default"/>
                <w:vertAlign w:val="baseline"/>
                <w:lang w:val="en-US" w:eastAsia="zh-CN"/>
              </w:rPr>
            </w:pPr>
            <w:r>
              <w:rPr>
                <w:rFonts w:hint="eastAsia"/>
                <w:vertAlign w:val="baseline"/>
                <w:lang w:val="en-US" w:eastAsia="zh-CN"/>
              </w:rPr>
              <w:t>2</w:t>
            </w:r>
          </w:p>
        </w:tc>
        <w:tc>
          <w:tcPr>
            <w:tcW w:w="2657" w:type="dxa"/>
            <w:vMerge w:val="continue"/>
            <w:noWrap w:val="0"/>
            <w:vAlign w:val="center"/>
          </w:tcPr>
          <w:p>
            <w:pPr>
              <w:jc w:val="center"/>
              <w:rPr>
                <w:rFonts w:hint="eastAsia"/>
                <w:vertAlign w:val="baseline"/>
                <w:lang w:val="en-US" w:eastAsia="zh-CN"/>
              </w:rPr>
            </w:pPr>
          </w:p>
        </w:tc>
        <w:tc>
          <w:tcPr>
            <w:tcW w:w="1704" w:type="dxa"/>
            <w:noWrap w:val="0"/>
            <w:vAlign w:val="top"/>
          </w:tcPr>
          <w:p>
            <w:pPr>
              <w:jc w:val="center"/>
              <w:rPr>
                <w:rFonts w:hint="eastAsia"/>
                <w:vertAlign w:val="baseline"/>
                <w:lang w:val="en-US" w:eastAsia="zh-CN"/>
              </w:rPr>
            </w:pPr>
            <w:r>
              <w:rPr>
                <w:rFonts w:hint="eastAsia"/>
                <w:vertAlign w:val="baseline"/>
                <w:lang w:val="en-US" w:eastAsia="zh-CN"/>
              </w:rPr>
              <w:t>基本满意</w:t>
            </w:r>
          </w:p>
        </w:tc>
        <w:tc>
          <w:tcPr>
            <w:tcW w:w="1705" w:type="dxa"/>
            <w:noWrap w:val="0"/>
            <w:vAlign w:val="top"/>
          </w:tcPr>
          <w:p>
            <w:pPr>
              <w:jc w:val="center"/>
              <w:rPr>
                <w:rFonts w:hint="eastAsia"/>
                <w:vertAlign w:val="baseline"/>
                <w:lang w:val="en-US" w:eastAsia="zh-CN"/>
              </w:rPr>
            </w:pPr>
          </w:p>
        </w:tc>
        <w:tc>
          <w:tcPr>
            <w:tcW w:w="1705" w:type="dxa"/>
            <w:vMerge w:val="continue"/>
            <w:noWrap w:val="0"/>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1" w:type="dxa"/>
            <w:noWrap w:val="0"/>
            <w:vAlign w:val="top"/>
          </w:tcPr>
          <w:p>
            <w:pPr>
              <w:jc w:val="center"/>
              <w:rPr>
                <w:rFonts w:hint="default"/>
                <w:vertAlign w:val="baseline"/>
                <w:lang w:val="en-US" w:eastAsia="zh-CN"/>
              </w:rPr>
            </w:pPr>
            <w:r>
              <w:rPr>
                <w:rFonts w:hint="eastAsia"/>
                <w:vertAlign w:val="baseline"/>
                <w:lang w:val="en-US" w:eastAsia="zh-CN"/>
              </w:rPr>
              <w:t>3</w:t>
            </w:r>
          </w:p>
        </w:tc>
        <w:tc>
          <w:tcPr>
            <w:tcW w:w="2657" w:type="dxa"/>
            <w:vMerge w:val="continue"/>
            <w:noWrap w:val="0"/>
            <w:vAlign w:val="center"/>
          </w:tcPr>
          <w:p>
            <w:pPr>
              <w:jc w:val="center"/>
              <w:rPr>
                <w:rFonts w:hint="eastAsia"/>
                <w:vertAlign w:val="baseline"/>
                <w:lang w:val="en-US" w:eastAsia="zh-CN"/>
              </w:rPr>
            </w:pPr>
          </w:p>
        </w:tc>
        <w:tc>
          <w:tcPr>
            <w:tcW w:w="1704" w:type="dxa"/>
            <w:noWrap w:val="0"/>
            <w:vAlign w:val="top"/>
          </w:tcPr>
          <w:p>
            <w:pPr>
              <w:jc w:val="center"/>
              <w:rPr>
                <w:rFonts w:hint="eastAsia"/>
                <w:vertAlign w:val="baseline"/>
                <w:lang w:val="en-US" w:eastAsia="zh-CN"/>
              </w:rPr>
            </w:pPr>
            <w:r>
              <w:rPr>
                <w:rFonts w:hint="eastAsia"/>
                <w:vertAlign w:val="baseline"/>
                <w:lang w:val="en-US" w:eastAsia="zh-CN"/>
              </w:rPr>
              <w:t>一般</w:t>
            </w:r>
          </w:p>
        </w:tc>
        <w:tc>
          <w:tcPr>
            <w:tcW w:w="1705" w:type="dxa"/>
            <w:noWrap w:val="0"/>
            <w:vAlign w:val="top"/>
          </w:tcPr>
          <w:p>
            <w:pPr>
              <w:jc w:val="center"/>
              <w:rPr>
                <w:rFonts w:hint="eastAsia"/>
                <w:vertAlign w:val="baseline"/>
                <w:lang w:val="en-US" w:eastAsia="zh-CN"/>
              </w:rPr>
            </w:pPr>
          </w:p>
        </w:tc>
        <w:tc>
          <w:tcPr>
            <w:tcW w:w="1705" w:type="dxa"/>
            <w:vMerge w:val="continue"/>
            <w:noWrap w:val="0"/>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noWrap w:val="0"/>
            <w:vAlign w:val="top"/>
          </w:tcPr>
          <w:p>
            <w:pPr>
              <w:jc w:val="center"/>
              <w:rPr>
                <w:rFonts w:hint="default"/>
                <w:vertAlign w:val="baseline"/>
                <w:lang w:val="en-US" w:eastAsia="zh-CN"/>
              </w:rPr>
            </w:pPr>
            <w:r>
              <w:rPr>
                <w:rFonts w:hint="eastAsia"/>
                <w:vertAlign w:val="baseline"/>
                <w:lang w:val="en-US" w:eastAsia="zh-CN"/>
              </w:rPr>
              <w:t>4</w:t>
            </w:r>
          </w:p>
        </w:tc>
        <w:tc>
          <w:tcPr>
            <w:tcW w:w="2657" w:type="dxa"/>
            <w:vMerge w:val="continue"/>
            <w:noWrap w:val="0"/>
            <w:vAlign w:val="center"/>
          </w:tcPr>
          <w:p>
            <w:pPr>
              <w:jc w:val="center"/>
              <w:rPr>
                <w:rFonts w:hint="eastAsia"/>
                <w:vertAlign w:val="baseline"/>
                <w:lang w:val="en-US" w:eastAsia="zh-CN"/>
              </w:rPr>
            </w:pPr>
          </w:p>
        </w:tc>
        <w:tc>
          <w:tcPr>
            <w:tcW w:w="1704" w:type="dxa"/>
            <w:noWrap w:val="0"/>
            <w:vAlign w:val="top"/>
          </w:tcPr>
          <w:p>
            <w:pPr>
              <w:jc w:val="center"/>
              <w:rPr>
                <w:rFonts w:hint="eastAsia"/>
                <w:vertAlign w:val="baseline"/>
                <w:lang w:val="en-US" w:eastAsia="zh-CN"/>
              </w:rPr>
            </w:pPr>
            <w:r>
              <w:rPr>
                <w:rFonts w:hint="eastAsia"/>
                <w:vertAlign w:val="baseline"/>
                <w:lang w:val="en-US" w:eastAsia="zh-CN"/>
              </w:rPr>
              <w:t>不满意</w:t>
            </w:r>
          </w:p>
        </w:tc>
        <w:tc>
          <w:tcPr>
            <w:tcW w:w="1705" w:type="dxa"/>
            <w:noWrap w:val="0"/>
            <w:vAlign w:val="top"/>
          </w:tcPr>
          <w:p>
            <w:pPr>
              <w:jc w:val="center"/>
              <w:rPr>
                <w:rFonts w:hint="eastAsia"/>
                <w:vertAlign w:val="baseline"/>
                <w:lang w:val="en-US" w:eastAsia="zh-CN"/>
              </w:rPr>
            </w:pPr>
          </w:p>
        </w:tc>
        <w:tc>
          <w:tcPr>
            <w:tcW w:w="1705" w:type="dxa"/>
            <w:vMerge w:val="continue"/>
            <w:noWrap w:val="0"/>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noWrap w:val="0"/>
            <w:vAlign w:val="top"/>
          </w:tcPr>
          <w:p>
            <w:pPr>
              <w:jc w:val="center"/>
              <w:rPr>
                <w:rFonts w:hint="default"/>
                <w:vertAlign w:val="baseline"/>
                <w:lang w:val="en-US" w:eastAsia="zh-CN"/>
              </w:rPr>
            </w:pPr>
            <w:r>
              <w:rPr>
                <w:rFonts w:hint="eastAsia"/>
                <w:vertAlign w:val="baseline"/>
                <w:lang w:val="en-US" w:eastAsia="zh-CN"/>
              </w:rPr>
              <w:t>5</w:t>
            </w:r>
          </w:p>
        </w:tc>
        <w:tc>
          <w:tcPr>
            <w:tcW w:w="2657" w:type="dxa"/>
            <w:vMerge w:val="restart"/>
            <w:noWrap w:val="0"/>
            <w:vAlign w:val="center"/>
          </w:tcPr>
          <w:p>
            <w:pPr>
              <w:jc w:val="center"/>
              <w:rPr>
                <w:rFonts w:hint="eastAsia"/>
                <w:vertAlign w:val="baseline"/>
                <w:lang w:val="en-US" w:eastAsia="zh-CN"/>
              </w:rPr>
            </w:pPr>
            <w:r>
              <w:rPr>
                <w:rFonts w:hint="eastAsia"/>
                <w:vertAlign w:val="baseline"/>
                <w:lang w:val="en-US" w:eastAsia="zh-CN"/>
              </w:rPr>
              <w:t>4J-7L-7Z-RSJ-004</w:t>
            </w:r>
          </w:p>
        </w:tc>
        <w:tc>
          <w:tcPr>
            <w:tcW w:w="1704" w:type="dxa"/>
            <w:noWrap w:val="0"/>
            <w:vAlign w:val="top"/>
          </w:tcPr>
          <w:p>
            <w:pPr>
              <w:jc w:val="cente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满意</w:t>
            </w:r>
          </w:p>
        </w:tc>
        <w:tc>
          <w:tcPr>
            <w:tcW w:w="1705" w:type="dxa"/>
            <w:noWrap w:val="0"/>
            <w:vAlign w:val="top"/>
          </w:tcPr>
          <w:p>
            <w:pPr>
              <w:jc w:val="center"/>
              <w:rPr>
                <w:rFonts w:hint="eastAsia"/>
                <w:vertAlign w:val="baseline"/>
                <w:lang w:val="en-US" w:eastAsia="zh-CN"/>
              </w:rPr>
            </w:pPr>
          </w:p>
        </w:tc>
        <w:tc>
          <w:tcPr>
            <w:tcW w:w="1705" w:type="dxa"/>
            <w:vMerge w:val="restart"/>
            <w:noWrap w:val="0"/>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noWrap w:val="0"/>
            <w:vAlign w:val="top"/>
          </w:tcPr>
          <w:p>
            <w:pPr>
              <w:jc w:val="center"/>
              <w:rPr>
                <w:rFonts w:hint="default"/>
                <w:vertAlign w:val="baseline"/>
                <w:lang w:val="en-US" w:eastAsia="zh-CN"/>
              </w:rPr>
            </w:pPr>
            <w:r>
              <w:rPr>
                <w:rFonts w:hint="eastAsia"/>
                <w:vertAlign w:val="baseline"/>
                <w:lang w:val="en-US" w:eastAsia="zh-CN"/>
              </w:rPr>
              <w:t>6</w:t>
            </w:r>
          </w:p>
        </w:tc>
        <w:tc>
          <w:tcPr>
            <w:tcW w:w="2657" w:type="dxa"/>
            <w:vMerge w:val="continue"/>
            <w:noWrap w:val="0"/>
            <w:vAlign w:val="center"/>
          </w:tcPr>
          <w:p>
            <w:pPr>
              <w:jc w:val="center"/>
              <w:rPr>
                <w:rFonts w:hint="eastAsia"/>
                <w:vertAlign w:val="baseline"/>
                <w:lang w:val="en-US" w:eastAsia="zh-CN"/>
              </w:rPr>
            </w:pPr>
          </w:p>
        </w:tc>
        <w:tc>
          <w:tcPr>
            <w:tcW w:w="1704" w:type="dxa"/>
            <w:noWrap w:val="0"/>
            <w:vAlign w:val="top"/>
          </w:tcPr>
          <w:p>
            <w:pPr>
              <w:jc w:val="cente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基本满意</w:t>
            </w:r>
          </w:p>
        </w:tc>
        <w:tc>
          <w:tcPr>
            <w:tcW w:w="1705" w:type="dxa"/>
            <w:noWrap w:val="0"/>
            <w:vAlign w:val="top"/>
          </w:tcPr>
          <w:p>
            <w:pPr>
              <w:jc w:val="center"/>
              <w:rPr>
                <w:rFonts w:hint="eastAsia"/>
                <w:vertAlign w:val="baseline"/>
                <w:lang w:val="en-US" w:eastAsia="zh-CN"/>
              </w:rPr>
            </w:pPr>
          </w:p>
        </w:tc>
        <w:tc>
          <w:tcPr>
            <w:tcW w:w="1705" w:type="dxa"/>
            <w:vMerge w:val="continue"/>
            <w:noWrap w:val="0"/>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1" w:type="dxa"/>
            <w:noWrap w:val="0"/>
            <w:vAlign w:val="top"/>
          </w:tcPr>
          <w:p>
            <w:pPr>
              <w:jc w:val="center"/>
              <w:rPr>
                <w:rFonts w:hint="default"/>
                <w:vertAlign w:val="baseline"/>
                <w:lang w:val="en-US" w:eastAsia="zh-CN"/>
              </w:rPr>
            </w:pPr>
            <w:r>
              <w:rPr>
                <w:rFonts w:hint="eastAsia"/>
                <w:vertAlign w:val="baseline"/>
                <w:lang w:val="en-US" w:eastAsia="zh-CN"/>
              </w:rPr>
              <w:t>7</w:t>
            </w:r>
          </w:p>
        </w:tc>
        <w:tc>
          <w:tcPr>
            <w:tcW w:w="2657" w:type="dxa"/>
            <w:vMerge w:val="continue"/>
            <w:noWrap w:val="0"/>
            <w:vAlign w:val="center"/>
          </w:tcPr>
          <w:p>
            <w:pPr>
              <w:jc w:val="center"/>
              <w:rPr>
                <w:rFonts w:hint="eastAsia"/>
                <w:vertAlign w:val="baseline"/>
                <w:lang w:val="en-US" w:eastAsia="zh-CN"/>
              </w:rPr>
            </w:pPr>
          </w:p>
        </w:tc>
        <w:tc>
          <w:tcPr>
            <w:tcW w:w="1704" w:type="dxa"/>
            <w:noWrap w:val="0"/>
            <w:vAlign w:val="top"/>
          </w:tcPr>
          <w:p>
            <w:pPr>
              <w:jc w:val="cente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一般</w:t>
            </w:r>
          </w:p>
        </w:tc>
        <w:tc>
          <w:tcPr>
            <w:tcW w:w="1705" w:type="dxa"/>
            <w:noWrap w:val="0"/>
            <w:vAlign w:val="top"/>
          </w:tcPr>
          <w:p>
            <w:pPr>
              <w:jc w:val="center"/>
              <w:rPr>
                <w:rFonts w:hint="eastAsia"/>
                <w:vertAlign w:val="baseline"/>
                <w:lang w:val="en-US" w:eastAsia="zh-CN"/>
              </w:rPr>
            </w:pPr>
          </w:p>
        </w:tc>
        <w:tc>
          <w:tcPr>
            <w:tcW w:w="1705" w:type="dxa"/>
            <w:vMerge w:val="continue"/>
            <w:noWrap w:val="0"/>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noWrap w:val="0"/>
            <w:vAlign w:val="top"/>
          </w:tcPr>
          <w:p>
            <w:pPr>
              <w:jc w:val="center"/>
              <w:rPr>
                <w:rFonts w:hint="default"/>
                <w:vertAlign w:val="baseline"/>
                <w:lang w:val="en-US" w:eastAsia="zh-CN"/>
              </w:rPr>
            </w:pPr>
            <w:r>
              <w:rPr>
                <w:rFonts w:hint="eastAsia"/>
                <w:vertAlign w:val="baseline"/>
                <w:lang w:val="en-US" w:eastAsia="zh-CN"/>
              </w:rPr>
              <w:t>8</w:t>
            </w:r>
          </w:p>
        </w:tc>
        <w:tc>
          <w:tcPr>
            <w:tcW w:w="2657" w:type="dxa"/>
            <w:vMerge w:val="continue"/>
            <w:noWrap w:val="0"/>
            <w:vAlign w:val="center"/>
          </w:tcPr>
          <w:p>
            <w:pPr>
              <w:jc w:val="center"/>
              <w:rPr>
                <w:rFonts w:hint="eastAsia"/>
                <w:vertAlign w:val="baseline"/>
                <w:lang w:val="en-US" w:eastAsia="zh-CN"/>
              </w:rPr>
            </w:pPr>
          </w:p>
        </w:tc>
        <w:tc>
          <w:tcPr>
            <w:tcW w:w="1704" w:type="dxa"/>
            <w:noWrap w:val="0"/>
            <w:vAlign w:val="top"/>
          </w:tcPr>
          <w:p>
            <w:pPr>
              <w:jc w:val="cente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不满意</w:t>
            </w:r>
          </w:p>
        </w:tc>
        <w:tc>
          <w:tcPr>
            <w:tcW w:w="1705" w:type="dxa"/>
            <w:noWrap w:val="0"/>
            <w:vAlign w:val="top"/>
          </w:tcPr>
          <w:p>
            <w:pPr>
              <w:jc w:val="center"/>
              <w:rPr>
                <w:rFonts w:hint="eastAsia"/>
                <w:vertAlign w:val="baseline"/>
                <w:lang w:val="en-US" w:eastAsia="zh-CN"/>
              </w:rPr>
            </w:pPr>
          </w:p>
        </w:tc>
        <w:tc>
          <w:tcPr>
            <w:tcW w:w="1705" w:type="dxa"/>
            <w:vMerge w:val="continue"/>
            <w:noWrap w:val="0"/>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noWrap w:val="0"/>
            <w:vAlign w:val="top"/>
          </w:tcPr>
          <w:p>
            <w:pPr>
              <w:jc w:val="center"/>
              <w:rPr>
                <w:rFonts w:hint="default"/>
                <w:vertAlign w:val="baseline"/>
                <w:lang w:val="en-US" w:eastAsia="zh-CN"/>
              </w:rPr>
            </w:pPr>
            <w:r>
              <w:rPr>
                <w:rFonts w:hint="eastAsia"/>
                <w:vertAlign w:val="baseline"/>
                <w:lang w:val="en-US" w:eastAsia="zh-CN"/>
              </w:rPr>
              <w:t>9</w:t>
            </w:r>
          </w:p>
        </w:tc>
        <w:tc>
          <w:tcPr>
            <w:tcW w:w="2657" w:type="dxa"/>
            <w:vMerge w:val="restart"/>
            <w:noWrap w:val="0"/>
            <w:vAlign w:val="center"/>
          </w:tcPr>
          <w:p>
            <w:pPr>
              <w:jc w:val="center"/>
              <w:rPr>
                <w:rFonts w:hint="eastAsia"/>
                <w:vertAlign w:val="baseline"/>
                <w:lang w:val="en-US" w:eastAsia="zh-CN"/>
              </w:rPr>
            </w:pPr>
            <w:r>
              <w:rPr>
                <w:rFonts w:hint="eastAsia"/>
                <w:vertAlign w:val="baseline"/>
                <w:lang w:val="en-US" w:eastAsia="zh-CN"/>
              </w:rPr>
              <w:t>4J-7L-7Z-RSJ-006</w:t>
            </w:r>
          </w:p>
        </w:tc>
        <w:tc>
          <w:tcPr>
            <w:tcW w:w="1704" w:type="dxa"/>
            <w:noWrap w:val="0"/>
            <w:vAlign w:val="top"/>
          </w:tcPr>
          <w:p>
            <w:pPr>
              <w:jc w:val="cente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满意</w:t>
            </w:r>
          </w:p>
        </w:tc>
        <w:tc>
          <w:tcPr>
            <w:tcW w:w="1705" w:type="dxa"/>
            <w:noWrap w:val="0"/>
            <w:vAlign w:val="top"/>
          </w:tcPr>
          <w:p>
            <w:pPr>
              <w:jc w:val="center"/>
              <w:rPr>
                <w:rFonts w:hint="eastAsia"/>
                <w:vertAlign w:val="baseline"/>
                <w:lang w:val="en-US" w:eastAsia="zh-CN"/>
              </w:rPr>
            </w:pPr>
          </w:p>
        </w:tc>
        <w:tc>
          <w:tcPr>
            <w:tcW w:w="1705" w:type="dxa"/>
            <w:vMerge w:val="restart"/>
            <w:noWrap w:val="0"/>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noWrap w:val="0"/>
            <w:vAlign w:val="top"/>
          </w:tcPr>
          <w:p>
            <w:pPr>
              <w:jc w:val="center"/>
              <w:rPr>
                <w:rFonts w:hint="default"/>
                <w:vertAlign w:val="baseline"/>
                <w:lang w:val="en-US" w:eastAsia="zh-CN"/>
              </w:rPr>
            </w:pPr>
            <w:r>
              <w:rPr>
                <w:rFonts w:hint="eastAsia"/>
                <w:vertAlign w:val="baseline"/>
                <w:lang w:val="en-US" w:eastAsia="zh-CN"/>
              </w:rPr>
              <w:t>10</w:t>
            </w:r>
          </w:p>
        </w:tc>
        <w:tc>
          <w:tcPr>
            <w:tcW w:w="2657" w:type="dxa"/>
            <w:vMerge w:val="continue"/>
            <w:noWrap w:val="0"/>
            <w:vAlign w:val="center"/>
          </w:tcPr>
          <w:p>
            <w:pPr>
              <w:jc w:val="center"/>
              <w:rPr>
                <w:rFonts w:hint="eastAsia"/>
                <w:vertAlign w:val="baseline"/>
                <w:lang w:val="en-US" w:eastAsia="zh-CN"/>
              </w:rPr>
            </w:pPr>
          </w:p>
        </w:tc>
        <w:tc>
          <w:tcPr>
            <w:tcW w:w="1704" w:type="dxa"/>
            <w:noWrap w:val="0"/>
            <w:vAlign w:val="top"/>
          </w:tcPr>
          <w:p>
            <w:pPr>
              <w:jc w:val="cente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基本满意</w:t>
            </w:r>
          </w:p>
        </w:tc>
        <w:tc>
          <w:tcPr>
            <w:tcW w:w="1705" w:type="dxa"/>
            <w:noWrap w:val="0"/>
            <w:vAlign w:val="top"/>
          </w:tcPr>
          <w:p>
            <w:pPr>
              <w:jc w:val="center"/>
              <w:rPr>
                <w:rFonts w:hint="eastAsia"/>
                <w:vertAlign w:val="baseline"/>
                <w:lang w:val="en-US" w:eastAsia="zh-CN"/>
              </w:rPr>
            </w:pPr>
          </w:p>
        </w:tc>
        <w:tc>
          <w:tcPr>
            <w:tcW w:w="1705" w:type="dxa"/>
            <w:vMerge w:val="continue"/>
            <w:noWrap w:val="0"/>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1" w:type="dxa"/>
            <w:noWrap w:val="0"/>
            <w:vAlign w:val="top"/>
          </w:tcPr>
          <w:p>
            <w:pPr>
              <w:jc w:val="center"/>
              <w:rPr>
                <w:rFonts w:hint="default"/>
                <w:vertAlign w:val="baseline"/>
                <w:lang w:val="en-US" w:eastAsia="zh-CN"/>
              </w:rPr>
            </w:pPr>
            <w:r>
              <w:rPr>
                <w:rFonts w:hint="eastAsia"/>
                <w:vertAlign w:val="baseline"/>
                <w:lang w:val="en-US" w:eastAsia="zh-CN"/>
              </w:rPr>
              <w:t>11</w:t>
            </w:r>
          </w:p>
        </w:tc>
        <w:tc>
          <w:tcPr>
            <w:tcW w:w="2657" w:type="dxa"/>
            <w:vMerge w:val="continue"/>
            <w:noWrap w:val="0"/>
            <w:vAlign w:val="center"/>
          </w:tcPr>
          <w:p>
            <w:pPr>
              <w:jc w:val="center"/>
              <w:rPr>
                <w:rFonts w:hint="eastAsia"/>
                <w:vertAlign w:val="baseline"/>
                <w:lang w:val="en-US" w:eastAsia="zh-CN"/>
              </w:rPr>
            </w:pPr>
          </w:p>
        </w:tc>
        <w:tc>
          <w:tcPr>
            <w:tcW w:w="1704" w:type="dxa"/>
            <w:noWrap w:val="0"/>
            <w:vAlign w:val="top"/>
          </w:tcPr>
          <w:p>
            <w:pPr>
              <w:jc w:val="cente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一般</w:t>
            </w:r>
          </w:p>
        </w:tc>
        <w:tc>
          <w:tcPr>
            <w:tcW w:w="1705" w:type="dxa"/>
            <w:noWrap w:val="0"/>
            <w:vAlign w:val="top"/>
          </w:tcPr>
          <w:p>
            <w:pPr>
              <w:jc w:val="center"/>
              <w:rPr>
                <w:rFonts w:hint="eastAsia"/>
                <w:vertAlign w:val="baseline"/>
                <w:lang w:val="en-US" w:eastAsia="zh-CN"/>
              </w:rPr>
            </w:pPr>
          </w:p>
        </w:tc>
        <w:tc>
          <w:tcPr>
            <w:tcW w:w="1705" w:type="dxa"/>
            <w:vMerge w:val="continue"/>
            <w:noWrap w:val="0"/>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noWrap w:val="0"/>
            <w:vAlign w:val="top"/>
          </w:tcPr>
          <w:p>
            <w:pPr>
              <w:jc w:val="center"/>
              <w:rPr>
                <w:rFonts w:hint="default"/>
                <w:vertAlign w:val="baseline"/>
                <w:lang w:val="en-US" w:eastAsia="zh-CN"/>
              </w:rPr>
            </w:pPr>
            <w:r>
              <w:rPr>
                <w:rFonts w:hint="eastAsia"/>
                <w:vertAlign w:val="baseline"/>
                <w:lang w:val="en-US" w:eastAsia="zh-CN"/>
              </w:rPr>
              <w:t>12</w:t>
            </w:r>
          </w:p>
        </w:tc>
        <w:tc>
          <w:tcPr>
            <w:tcW w:w="2657" w:type="dxa"/>
            <w:vMerge w:val="continue"/>
            <w:noWrap w:val="0"/>
            <w:vAlign w:val="center"/>
          </w:tcPr>
          <w:p>
            <w:pPr>
              <w:jc w:val="center"/>
              <w:rPr>
                <w:rFonts w:hint="eastAsia"/>
                <w:vertAlign w:val="baseline"/>
                <w:lang w:val="en-US" w:eastAsia="zh-CN"/>
              </w:rPr>
            </w:pPr>
          </w:p>
        </w:tc>
        <w:tc>
          <w:tcPr>
            <w:tcW w:w="1704" w:type="dxa"/>
            <w:noWrap w:val="0"/>
            <w:vAlign w:val="top"/>
          </w:tcPr>
          <w:p>
            <w:pPr>
              <w:jc w:val="cente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不满意</w:t>
            </w:r>
          </w:p>
        </w:tc>
        <w:tc>
          <w:tcPr>
            <w:tcW w:w="1705" w:type="dxa"/>
            <w:noWrap w:val="0"/>
            <w:vAlign w:val="top"/>
          </w:tcPr>
          <w:p>
            <w:pPr>
              <w:jc w:val="center"/>
              <w:rPr>
                <w:rFonts w:hint="eastAsia"/>
                <w:vertAlign w:val="baseline"/>
                <w:lang w:val="en-US" w:eastAsia="zh-CN"/>
              </w:rPr>
            </w:pPr>
          </w:p>
        </w:tc>
        <w:tc>
          <w:tcPr>
            <w:tcW w:w="1705" w:type="dxa"/>
            <w:vMerge w:val="continue"/>
            <w:noWrap w:val="0"/>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noWrap w:val="0"/>
            <w:vAlign w:val="center"/>
          </w:tcPr>
          <w:p>
            <w:pPr>
              <w:jc w:val="center"/>
              <w:rPr>
                <w:rFonts w:hint="default"/>
                <w:vertAlign w:val="baseline"/>
                <w:lang w:val="en-US" w:eastAsia="zh-CN"/>
              </w:rPr>
            </w:pPr>
            <w:r>
              <w:rPr>
                <w:rFonts w:hint="eastAsia"/>
                <w:vertAlign w:val="baseline"/>
                <w:lang w:val="en-US" w:eastAsia="zh-CN"/>
              </w:rPr>
              <w:t>13</w:t>
            </w:r>
          </w:p>
        </w:tc>
        <w:tc>
          <w:tcPr>
            <w:tcW w:w="2657" w:type="dxa"/>
            <w:noWrap w:val="0"/>
            <w:vAlign w:val="center"/>
          </w:tcPr>
          <w:p>
            <w:pPr>
              <w:jc w:val="center"/>
              <w:rPr>
                <w:rFonts w:hint="eastAsia"/>
                <w:vertAlign w:val="baseline"/>
                <w:lang w:val="en-US" w:eastAsia="zh-CN"/>
              </w:rPr>
            </w:pPr>
            <w:r>
              <w:rPr>
                <w:rFonts w:hint="eastAsia"/>
                <w:vertAlign w:val="baseline"/>
                <w:lang w:val="en-US" w:eastAsia="zh-CN"/>
              </w:rPr>
              <w:t>其他意见建议</w:t>
            </w:r>
          </w:p>
        </w:tc>
        <w:tc>
          <w:tcPr>
            <w:tcW w:w="5114" w:type="dxa"/>
            <w:gridSpan w:val="3"/>
            <w:noWrap w:val="0"/>
            <w:vAlign w:val="top"/>
          </w:tcPr>
          <w:p>
            <w:pPr>
              <w:jc w:val="cente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tc>
      </w:tr>
    </w:tbl>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720" w:firstLineChars="200"/>
        <w:textAlignment w:val="auto"/>
        <w:rPr>
          <w:rFonts w:hint="eastAsia" w:ascii="方正仿宋_GBK" w:hAnsi="方正仿宋_GBK" w:eastAsia="方正仿宋_GBK" w:cs="方正仿宋_GBK"/>
          <w:b/>
          <w:bCs/>
          <w:sz w:val="36"/>
          <w:szCs w:val="36"/>
          <w:lang w:val="en-US" w:eastAsia="zh-CN"/>
        </w:rPr>
      </w:pPr>
    </w:p>
    <w:p/>
    <w:p/>
    <w:sectPr>
      <w:pgSz w:w="11907" w:h="16840"/>
      <w:pgMar w:top="1733" w:right="1418" w:bottom="1733" w:left="1588" w:header="851" w:footer="992" w:gutter="0"/>
      <w:cols w:space="425" w:num="1"/>
      <w:docGrid w:type="linesAndChars" w:linePitch="60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0000009F" w:csb1="00000000"/>
  </w:font>
  <w:font w:name="Wingdings 2">
    <w:panose1 w:val="05020102010507070707"/>
    <w:charset w:val="02"/>
    <w:family w:val="roman"/>
    <w:pitch w:val="default"/>
    <w:sig w:usb0="00000000" w:usb1="00000000" w:usb2="00000000" w:usb3="00000000" w:csb0="80000000" w:csb1="00000000"/>
  </w:font>
  <w:font w:name="微软简标宋">
    <w:altName w:val="宋体"/>
    <w:panose1 w:val="00000000000000000000"/>
    <w:charset w:val="86"/>
    <w:family w:val="auto"/>
    <w:pitch w:val="default"/>
    <w:sig w:usb0="00000000" w:usb1="00000000" w:usb2="0000001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65A29"/>
    <w:multiLevelType w:val="singleLevel"/>
    <w:tmpl w:val="FFF65A2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drawingGridHorizontalSpacing w:val="105"/>
  <w:drawingGridVerticalSpacing w:val="607"/>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E23"/>
    <w:rsid w:val="0000552F"/>
    <w:rsid w:val="00027E3A"/>
    <w:rsid w:val="0005398E"/>
    <w:rsid w:val="00076328"/>
    <w:rsid w:val="00077839"/>
    <w:rsid w:val="000867A8"/>
    <w:rsid w:val="00092302"/>
    <w:rsid w:val="000B6130"/>
    <w:rsid w:val="00117084"/>
    <w:rsid w:val="00147BB8"/>
    <w:rsid w:val="001861F9"/>
    <w:rsid w:val="00215E23"/>
    <w:rsid w:val="00254290"/>
    <w:rsid w:val="002E0B2C"/>
    <w:rsid w:val="003677A0"/>
    <w:rsid w:val="00383626"/>
    <w:rsid w:val="003A43BA"/>
    <w:rsid w:val="003E6784"/>
    <w:rsid w:val="00473CFD"/>
    <w:rsid w:val="004A6C64"/>
    <w:rsid w:val="004D672D"/>
    <w:rsid w:val="004D6C0D"/>
    <w:rsid w:val="004E0B63"/>
    <w:rsid w:val="004F4A68"/>
    <w:rsid w:val="00533678"/>
    <w:rsid w:val="0054459C"/>
    <w:rsid w:val="005730B7"/>
    <w:rsid w:val="00580CB1"/>
    <w:rsid w:val="00581E60"/>
    <w:rsid w:val="005904F7"/>
    <w:rsid w:val="005B3BE9"/>
    <w:rsid w:val="005B780B"/>
    <w:rsid w:val="006415D5"/>
    <w:rsid w:val="00643A23"/>
    <w:rsid w:val="00666929"/>
    <w:rsid w:val="00686A85"/>
    <w:rsid w:val="00792FF5"/>
    <w:rsid w:val="008126AA"/>
    <w:rsid w:val="008332F9"/>
    <w:rsid w:val="00882DA5"/>
    <w:rsid w:val="008C540E"/>
    <w:rsid w:val="008D3E1C"/>
    <w:rsid w:val="008D6386"/>
    <w:rsid w:val="00910942"/>
    <w:rsid w:val="009247C3"/>
    <w:rsid w:val="009A6A38"/>
    <w:rsid w:val="009D0BB8"/>
    <w:rsid w:val="009E2DF9"/>
    <w:rsid w:val="009F09BD"/>
    <w:rsid w:val="00A11577"/>
    <w:rsid w:val="00A24D24"/>
    <w:rsid w:val="00AB3CA2"/>
    <w:rsid w:val="00AF036C"/>
    <w:rsid w:val="00B12560"/>
    <w:rsid w:val="00B24012"/>
    <w:rsid w:val="00B30D71"/>
    <w:rsid w:val="00B678DB"/>
    <w:rsid w:val="00B74D3F"/>
    <w:rsid w:val="00B8434A"/>
    <w:rsid w:val="00C271FD"/>
    <w:rsid w:val="00C31173"/>
    <w:rsid w:val="00C355FC"/>
    <w:rsid w:val="00C4665E"/>
    <w:rsid w:val="00D33C98"/>
    <w:rsid w:val="00D52ECC"/>
    <w:rsid w:val="00DB51A2"/>
    <w:rsid w:val="00DC52D5"/>
    <w:rsid w:val="00DE6836"/>
    <w:rsid w:val="00DF1D52"/>
    <w:rsid w:val="00E272A6"/>
    <w:rsid w:val="00EA1100"/>
    <w:rsid w:val="00ED4F3A"/>
    <w:rsid w:val="00EF6B02"/>
    <w:rsid w:val="00F130D4"/>
    <w:rsid w:val="00F21105"/>
    <w:rsid w:val="00F7487F"/>
    <w:rsid w:val="00F800B4"/>
    <w:rsid w:val="20726EFA"/>
    <w:rsid w:val="2A6113C0"/>
    <w:rsid w:val="4BFB285E"/>
    <w:rsid w:val="4C3E2667"/>
    <w:rsid w:val="4FF53A32"/>
    <w:rsid w:val="5595351C"/>
    <w:rsid w:val="5F7F509A"/>
    <w:rsid w:val="6625ADB7"/>
    <w:rsid w:val="67FFB43D"/>
    <w:rsid w:val="77FF8AD4"/>
    <w:rsid w:val="79D901D6"/>
    <w:rsid w:val="7FB7C49B"/>
    <w:rsid w:val="7FFFD8C1"/>
    <w:rsid w:val="ABF3F064"/>
    <w:rsid w:val="BDDF6C40"/>
    <w:rsid w:val="BFD760B4"/>
    <w:rsid w:val="BFFD0179"/>
    <w:rsid w:val="DEEE2E9C"/>
    <w:rsid w:val="DF2D2A7C"/>
    <w:rsid w:val="EEEB9AB1"/>
    <w:rsid w:val="F3EE0CEC"/>
    <w:rsid w:val="FEB5CA57"/>
    <w:rsid w:val="FEDEE48C"/>
    <w:rsid w:val="FF6D4A06"/>
    <w:rsid w:val="FF7E6D49"/>
    <w:rsid w:val="FFE5B699"/>
    <w:rsid w:val="FFF6E8B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after="120"/>
      <w:ind w:left="420" w:leftChars="200"/>
    </w:pPr>
  </w:style>
  <w:style w:type="paragraph" w:styleId="4">
    <w:name w:val="footer"/>
    <w:basedOn w:val="1"/>
    <w:link w:val="9"/>
    <w:semiHidden/>
    <w:qFormat/>
    <w:uiPriority w:val="99"/>
    <w:pPr>
      <w:tabs>
        <w:tab w:val="center" w:pos="4153"/>
        <w:tab w:val="right" w:pos="8306"/>
      </w:tabs>
      <w:snapToGrid w:val="0"/>
      <w:jc w:val="left"/>
    </w:pPr>
    <w:rPr>
      <w:sz w:val="18"/>
      <w:szCs w:val="18"/>
    </w:rPr>
  </w:style>
  <w:style w:type="paragraph" w:styleId="5">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oter Char"/>
    <w:basedOn w:val="8"/>
    <w:link w:val="4"/>
    <w:semiHidden/>
    <w:qFormat/>
    <w:locked/>
    <w:uiPriority w:val="99"/>
    <w:rPr>
      <w:sz w:val="18"/>
      <w:szCs w:val="18"/>
    </w:rPr>
  </w:style>
  <w:style w:type="character" w:customStyle="1" w:styleId="10">
    <w:name w:val="Header Char"/>
    <w:basedOn w:val="8"/>
    <w:link w:val="5"/>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49</Words>
  <Characters>281</Characters>
  <Lines>0</Lines>
  <Paragraphs>0</Paragraphs>
  <TotalTime>1</TotalTime>
  <ScaleCrop>false</ScaleCrop>
  <LinksUpToDate>false</LinksUpToDate>
  <CharactersWithSpaces>0</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2024-07-17T16:03:00Z</dcterms:created>
  <dc:creator>admin</dc:creator>
  <cp:lastModifiedBy>闫永和</cp:lastModifiedBy>
  <cp:lastPrinted>2023-04-28T10:42:00Z</cp:lastPrinted>
  <dcterms:modified xsi:type="dcterms:W3CDTF">2024-07-17T16:34:44Z</dcterms:modified>
  <dc:title>政务网 微信公众号 上网内容备案单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